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6104E" w14:textId="153EF293" w:rsidR="00E54CD6" w:rsidRPr="001E4BFA" w:rsidRDefault="00E54CD6" w:rsidP="00057C0D">
      <w:pPr>
        <w:spacing w:line="240" w:lineRule="auto"/>
        <w:rPr>
          <w:rFonts w:eastAsia="Times New Roman"/>
          <w:sz w:val="28"/>
          <w:szCs w:val="28"/>
        </w:rPr>
      </w:pPr>
      <w:r w:rsidRPr="001E4BFA">
        <w:rPr>
          <w:rFonts w:eastAsia="Times New Roman"/>
          <w:sz w:val="28"/>
          <w:szCs w:val="28"/>
        </w:rPr>
        <w:t>Научная статья</w:t>
      </w:r>
    </w:p>
    <w:p w14:paraId="60A9FBB8" w14:textId="0BB6708A" w:rsidR="00057C0D" w:rsidRPr="001E4BFA" w:rsidRDefault="00057C0D" w:rsidP="00057C0D">
      <w:pPr>
        <w:spacing w:line="240" w:lineRule="auto"/>
        <w:rPr>
          <w:rFonts w:eastAsia="Times New Roman"/>
          <w:sz w:val="28"/>
          <w:szCs w:val="28"/>
          <w:lang w:val="ru-RU"/>
        </w:rPr>
      </w:pPr>
      <w:r w:rsidRPr="001E4BFA">
        <w:rPr>
          <w:rFonts w:eastAsia="Times New Roman"/>
          <w:sz w:val="28"/>
          <w:szCs w:val="28"/>
        </w:rPr>
        <w:t xml:space="preserve">УДК </w:t>
      </w:r>
      <w:r w:rsidR="0027115E" w:rsidRPr="0027115E">
        <w:rPr>
          <w:rFonts w:eastAsia="Times New Roman"/>
          <w:sz w:val="28"/>
          <w:szCs w:val="28"/>
        </w:rPr>
        <w:t>336.6</w:t>
      </w:r>
    </w:p>
    <w:p w14:paraId="40027329" w14:textId="6D2370CF" w:rsidR="008B2A05" w:rsidRPr="001E4BFA" w:rsidRDefault="00E54CD6" w:rsidP="00057C0D">
      <w:pPr>
        <w:spacing w:line="240" w:lineRule="auto"/>
        <w:rPr>
          <w:rFonts w:eastAsia="Times New Roman"/>
          <w:sz w:val="28"/>
          <w:szCs w:val="28"/>
        </w:rPr>
      </w:pPr>
      <w:r w:rsidRPr="001E4BFA">
        <w:rPr>
          <w:rFonts w:eastAsia="Times New Roman"/>
          <w:sz w:val="28"/>
          <w:szCs w:val="28"/>
        </w:rPr>
        <w:t>DOI:</w:t>
      </w:r>
    </w:p>
    <w:p w14:paraId="12D881E6" w14:textId="19EE228C" w:rsidR="00E4337B" w:rsidRPr="001E4BFA" w:rsidRDefault="0027115E" w:rsidP="00BB064F">
      <w:pPr>
        <w:spacing w:before="120" w:after="120" w:line="240" w:lineRule="auto"/>
        <w:jc w:val="center"/>
        <w:rPr>
          <w:rFonts w:eastAsia="Times New Roman"/>
          <w:b/>
          <w:caps/>
          <w:sz w:val="32"/>
          <w:szCs w:val="32"/>
          <w:lang w:val="ru-RU"/>
        </w:rPr>
      </w:pPr>
      <w:r w:rsidRPr="0027115E">
        <w:rPr>
          <w:rFonts w:eastAsia="Times New Roman"/>
          <w:b/>
          <w:bCs/>
          <w:caps/>
          <w:sz w:val="32"/>
          <w:szCs w:val="32"/>
        </w:rPr>
        <w:t>ФИНАНСОВЫЕ МЕХАНИЗМЫ РАЗВИТИЯ ЧАСТНЫХ КОСМИЧЕСКИХ КОМПАНИЙ В РОССИИ</w:t>
      </w:r>
    </w:p>
    <w:p w14:paraId="5A4E7305" w14:textId="5DADB6AF" w:rsidR="0002596B" w:rsidRPr="001E4BFA" w:rsidRDefault="00057C0D" w:rsidP="00FB0A27">
      <w:pPr>
        <w:spacing w:line="240" w:lineRule="auto"/>
        <w:jc w:val="center"/>
        <w:rPr>
          <w:rFonts w:eastAsia="Times New Roman"/>
          <w:b/>
          <w:i/>
          <w:sz w:val="28"/>
          <w:szCs w:val="28"/>
          <w:lang w:val="ru-RU"/>
        </w:rPr>
      </w:pPr>
      <w:r w:rsidRPr="001E4BFA">
        <w:rPr>
          <w:rFonts w:eastAsia="Times New Roman"/>
          <w:b/>
          <w:i/>
          <w:sz w:val="28"/>
          <w:szCs w:val="28"/>
        </w:rPr>
        <w:t>Московский государственный технический университет им. Н.Э. Баумана,</w:t>
      </w:r>
      <w:r w:rsidR="0039229E" w:rsidRPr="001E4BFA">
        <w:rPr>
          <w:rFonts w:eastAsia="Times New Roman"/>
          <w:b/>
          <w:i/>
          <w:sz w:val="28"/>
          <w:szCs w:val="28"/>
          <w:lang w:val="ru-RU"/>
        </w:rPr>
        <w:t xml:space="preserve"> </w:t>
      </w:r>
      <w:r w:rsidRPr="001E4BFA">
        <w:rPr>
          <w:rFonts w:eastAsia="Times New Roman"/>
          <w:b/>
          <w:i/>
          <w:sz w:val="28"/>
          <w:szCs w:val="28"/>
        </w:rPr>
        <w:t>Москва, Россия</w:t>
      </w:r>
      <w:r w:rsidR="00FB0A27" w:rsidRPr="001E4BFA">
        <w:rPr>
          <w:rFonts w:eastAsia="Times New Roman"/>
          <w:b/>
          <w:i/>
          <w:sz w:val="28"/>
          <w:szCs w:val="28"/>
          <w:lang w:val="ru-RU"/>
        </w:rPr>
        <w:t>,</w:t>
      </w:r>
    </w:p>
    <w:p w14:paraId="644DDD3F" w14:textId="77777777" w:rsidR="0002596B" w:rsidRPr="001E4BFA" w:rsidRDefault="0002596B" w:rsidP="0002596B">
      <w:pPr>
        <w:spacing w:line="240" w:lineRule="auto"/>
        <w:jc w:val="center"/>
        <w:rPr>
          <w:rFonts w:eastAsia="Times New Roman"/>
          <w:b/>
          <w:i/>
          <w:sz w:val="28"/>
          <w:szCs w:val="28"/>
          <w:lang w:val="ru-RU"/>
        </w:rPr>
      </w:pPr>
    </w:p>
    <w:p w14:paraId="32E8D6C9" w14:textId="12A94DB1" w:rsidR="0002596B" w:rsidRPr="001E4BFA" w:rsidRDefault="0027115E" w:rsidP="0002596B">
      <w:pPr>
        <w:spacing w:line="240" w:lineRule="auto"/>
        <w:jc w:val="center"/>
        <w:rPr>
          <w:rFonts w:eastAsia="Times New Roman"/>
          <w:b/>
          <w:i/>
          <w:caps/>
          <w:sz w:val="28"/>
          <w:szCs w:val="28"/>
          <w:lang w:val="ru-RU"/>
        </w:rPr>
      </w:pPr>
      <w:r w:rsidRPr="0027115E">
        <w:rPr>
          <w:rFonts w:eastAsia="Times New Roman"/>
          <w:b/>
          <w:bCs/>
          <w:i/>
          <w:sz w:val="28"/>
          <w:szCs w:val="28"/>
        </w:rPr>
        <w:t>А.В. Пилюгина</w:t>
      </w:r>
      <w:r w:rsidRPr="0027115E">
        <w:rPr>
          <w:rFonts w:eastAsia="Times New Roman"/>
          <w:b/>
          <w:i/>
          <w:sz w:val="28"/>
          <w:szCs w:val="28"/>
          <w:vertAlign w:val="superscript"/>
          <w:lang w:val="ru-RU"/>
        </w:rPr>
        <w:t xml:space="preserve"> </w:t>
      </w:r>
      <w:r w:rsidR="0039229E" w:rsidRPr="001E4BFA">
        <w:rPr>
          <w:rFonts w:eastAsia="Times New Roman"/>
          <w:b/>
          <w:i/>
          <w:sz w:val="28"/>
          <w:szCs w:val="28"/>
          <w:vertAlign w:val="superscript"/>
          <w:lang w:val="ru-RU"/>
        </w:rPr>
        <w:t>1</w:t>
      </w:r>
    </w:p>
    <w:p w14:paraId="056A1A13" w14:textId="7A4B865E" w:rsidR="0039229E" w:rsidRPr="001E4BFA" w:rsidRDefault="0039229E" w:rsidP="0076477D">
      <w:pPr>
        <w:spacing w:line="240" w:lineRule="auto"/>
        <w:jc w:val="center"/>
        <w:rPr>
          <w:rStyle w:val="af3"/>
          <w:rFonts w:eastAsia="Times New Roman"/>
          <w:i/>
          <w:color w:val="auto"/>
          <w:sz w:val="28"/>
          <w:szCs w:val="28"/>
          <w:lang w:val="ru-RU"/>
        </w:rPr>
      </w:pPr>
      <w:r w:rsidRPr="001E4BFA">
        <w:rPr>
          <w:i/>
          <w:sz w:val="28"/>
          <w:szCs w:val="28"/>
          <w:vertAlign w:val="superscript"/>
          <w:lang w:val="ru-RU"/>
        </w:rPr>
        <w:t>1</w:t>
      </w:r>
      <w:r w:rsidR="0027115E" w:rsidRPr="0027115E">
        <w:rPr>
          <w:b/>
          <w:bCs/>
          <w:i/>
          <w:sz w:val="28"/>
          <w:szCs w:val="28"/>
          <w:lang w:val="ru-RU"/>
        </w:rPr>
        <w:t xml:space="preserve"> </w:t>
      </w:r>
      <w:r w:rsidR="0027115E" w:rsidRPr="0027115E">
        <w:rPr>
          <w:i/>
          <w:sz w:val="28"/>
          <w:szCs w:val="28"/>
          <w:lang w:val="en-US"/>
        </w:rPr>
        <w:t>pilyuginaanna</w:t>
      </w:r>
      <w:r w:rsidR="0027115E" w:rsidRPr="0027115E">
        <w:rPr>
          <w:i/>
          <w:sz w:val="28"/>
          <w:szCs w:val="28"/>
        </w:rPr>
        <w:t>@</w:t>
      </w:r>
      <w:r w:rsidR="0027115E" w:rsidRPr="0027115E">
        <w:rPr>
          <w:i/>
          <w:sz w:val="28"/>
          <w:szCs w:val="28"/>
          <w:lang w:val="en-US"/>
        </w:rPr>
        <w:t>bmstu</w:t>
      </w:r>
      <w:r w:rsidR="0027115E" w:rsidRPr="0027115E">
        <w:rPr>
          <w:i/>
          <w:sz w:val="28"/>
          <w:szCs w:val="28"/>
        </w:rPr>
        <w:t>.</w:t>
      </w:r>
      <w:r w:rsidR="0027115E" w:rsidRPr="0027115E">
        <w:rPr>
          <w:i/>
          <w:sz w:val="28"/>
          <w:szCs w:val="28"/>
          <w:lang w:val="en-US"/>
        </w:rPr>
        <w:t>ru</w:t>
      </w:r>
      <w:r w:rsidR="0027115E" w:rsidRPr="00A44A06">
        <w:rPr>
          <w:i/>
          <w:sz w:val="28"/>
          <w:szCs w:val="28"/>
        </w:rPr>
        <w:t xml:space="preserve">, </w:t>
      </w:r>
      <w:r w:rsidR="0027115E" w:rsidRPr="0027115E">
        <w:rPr>
          <w:i/>
          <w:sz w:val="28"/>
          <w:szCs w:val="28"/>
          <w:lang w:val="en-US"/>
        </w:rPr>
        <w:t>https</w:t>
      </w:r>
      <w:r w:rsidR="0027115E" w:rsidRPr="0027115E">
        <w:rPr>
          <w:i/>
          <w:sz w:val="28"/>
          <w:szCs w:val="28"/>
        </w:rPr>
        <w:t>://</w:t>
      </w:r>
      <w:r w:rsidR="0027115E" w:rsidRPr="0027115E">
        <w:rPr>
          <w:i/>
          <w:sz w:val="28"/>
          <w:szCs w:val="28"/>
          <w:lang w:val="en-US"/>
        </w:rPr>
        <w:t>orcid</w:t>
      </w:r>
      <w:r w:rsidR="0027115E" w:rsidRPr="0027115E">
        <w:rPr>
          <w:i/>
          <w:sz w:val="28"/>
          <w:szCs w:val="28"/>
        </w:rPr>
        <w:t>.</w:t>
      </w:r>
      <w:r w:rsidR="0027115E" w:rsidRPr="0027115E">
        <w:rPr>
          <w:i/>
          <w:sz w:val="28"/>
          <w:szCs w:val="28"/>
          <w:lang w:val="en-US"/>
        </w:rPr>
        <w:t>org</w:t>
      </w:r>
      <w:r w:rsidR="0027115E" w:rsidRPr="0027115E">
        <w:rPr>
          <w:i/>
          <w:sz w:val="28"/>
          <w:szCs w:val="28"/>
        </w:rPr>
        <w:t>/0000-0002-4789-8925</w:t>
      </w:r>
    </w:p>
    <w:p w14:paraId="718AEA87" w14:textId="77777777" w:rsidR="00D46F31" w:rsidRPr="001E4BFA" w:rsidRDefault="00D46F31" w:rsidP="00D46F31">
      <w:pPr>
        <w:spacing w:line="240" w:lineRule="auto"/>
        <w:jc w:val="center"/>
        <w:rPr>
          <w:rFonts w:eastAsia="Times New Roman"/>
          <w:i/>
          <w:sz w:val="28"/>
          <w:szCs w:val="28"/>
          <w:lang w:val="ru-RU"/>
        </w:rPr>
      </w:pPr>
    </w:p>
    <w:p w14:paraId="4C2185B5" w14:textId="05DCB8CB" w:rsidR="003B2935" w:rsidRPr="001E4BFA" w:rsidRDefault="003952C3" w:rsidP="00470246">
      <w:pPr>
        <w:spacing w:line="240" w:lineRule="auto"/>
        <w:ind w:firstLine="720"/>
        <w:jc w:val="both"/>
        <w:rPr>
          <w:rFonts w:eastAsia="Times New Roman"/>
          <w:sz w:val="28"/>
          <w:szCs w:val="28"/>
          <w:lang w:val="ru-RU"/>
        </w:rPr>
      </w:pPr>
      <w:r w:rsidRPr="001E4BFA">
        <w:rPr>
          <w:rFonts w:eastAsia="Times New Roman"/>
          <w:b/>
          <w:bCs/>
          <w:sz w:val="28"/>
          <w:szCs w:val="28"/>
          <w:lang w:val="ru-RU"/>
        </w:rPr>
        <w:t>Аннотация.</w:t>
      </w:r>
      <w:r w:rsidRPr="001E4BFA">
        <w:rPr>
          <w:rFonts w:eastAsia="Times New Roman"/>
          <w:sz w:val="28"/>
          <w:szCs w:val="28"/>
          <w:lang w:val="ru-RU"/>
        </w:rPr>
        <w:t xml:space="preserve"> </w:t>
      </w:r>
      <w:r w:rsidR="00910259">
        <w:rPr>
          <w:rFonts w:eastAsia="Times New Roman"/>
          <w:sz w:val="28"/>
          <w:szCs w:val="28"/>
          <w:lang w:val="ru-RU"/>
        </w:rPr>
        <w:t xml:space="preserve">В статье представлены результаты анализа финансовых механизмов, используемых для развития частных космических компаний на современном этапе. </w:t>
      </w:r>
      <w:r w:rsidR="00AE3C84">
        <w:rPr>
          <w:rFonts w:eastAsia="Times New Roman"/>
          <w:sz w:val="28"/>
          <w:szCs w:val="28"/>
          <w:lang w:val="ru-RU"/>
        </w:rPr>
        <w:t xml:space="preserve">Повышению инвестиционной динамики препятствуют ограничения не только в доступности разнообразных финансовых ресурсов, но и в доступных инвесторам аналитических инструментах. </w:t>
      </w:r>
      <w:r w:rsidR="00910259">
        <w:rPr>
          <w:rFonts w:eastAsia="Times New Roman"/>
          <w:sz w:val="28"/>
          <w:szCs w:val="28"/>
          <w:lang w:val="ru-RU"/>
        </w:rPr>
        <w:t>Проведен анализ подходов к построению систем частной космонавтики зарубежных сран</w:t>
      </w:r>
      <w:r w:rsidR="00470246">
        <w:rPr>
          <w:rFonts w:eastAsia="Times New Roman"/>
          <w:sz w:val="28"/>
          <w:szCs w:val="28"/>
          <w:lang w:val="ru-RU"/>
        </w:rPr>
        <w:t xml:space="preserve"> с учетом исторического контекста</w:t>
      </w:r>
      <w:r w:rsidR="00910259">
        <w:rPr>
          <w:rFonts w:eastAsia="Times New Roman"/>
          <w:sz w:val="28"/>
          <w:szCs w:val="28"/>
          <w:lang w:val="ru-RU"/>
        </w:rPr>
        <w:t>. Основное внимание уделено примерам США и Китая</w:t>
      </w:r>
      <w:r w:rsidR="00470246">
        <w:rPr>
          <w:rFonts w:eastAsia="Times New Roman"/>
          <w:sz w:val="28"/>
          <w:szCs w:val="28"/>
          <w:lang w:val="ru-RU"/>
        </w:rPr>
        <w:t>, используемым ими традиционным и инновационным финансовым механизмам.</w:t>
      </w:r>
      <w:r w:rsidR="00910259">
        <w:rPr>
          <w:rFonts w:eastAsia="Times New Roman"/>
          <w:sz w:val="28"/>
          <w:szCs w:val="28"/>
          <w:lang w:val="ru-RU"/>
        </w:rPr>
        <w:t xml:space="preserve"> </w:t>
      </w:r>
      <w:r w:rsidR="00470246">
        <w:rPr>
          <w:rFonts w:eastAsia="Times New Roman"/>
          <w:sz w:val="28"/>
          <w:szCs w:val="28"/>
          <w:lang w:val="ru-RU"/>
        </w:rPr>
        <w:t>С</w:t>
      </w:r>
      <w:r w:rsidR="00910259">
        <w:rPr>
          <w:rFonts w:eastAsia="Times New Roman"/>
          <w:sz w:val="28"/>
          <w:szCs w:val="28"/>
          <w:lang w:val="ru-RU"/>
        </w:rPr>
        <w:t xml:space="preserve">делано предположение о базовых гипотезах </w:t>
      </w:r>
      <w:r w:rsidR="00470246">
        <w:rPr>
          <w:rFonts w:eastAsia="Times New Roman"/>
          <w:sz w:val="28"/>
          <w:szCs w:val="28"/>
          <w:lang w:val="ru-RU"/>
        </w:rPr>
        <w:t xml:space="preserve">при </w:t>
      </w:r>
      <w:r w:rsidR="00910259">
        <w:rPr>
          <w:rFonts w:eastAsia="Times New Roman"/>
          <w:sz w:val="28"/>
          <w:szCs w:val="28"/>
          <w:lang w:val="ru-RU"/>
        </w:rPr>
        <w:t xml:space="preserve">синтезирования решений зарубежных стран </w:t>
      </w:r>
      <w:r w:rsidR="00470246">
        <w:rPr>
          <w:rFonts w:eastAsia="Times New Roman"/>
          <w:sz w:val="28"/>
          <w:szCs w:val="28"/>
          <w:lang w:val="ru-RU"/>
        </w:rPr>
        <w:t>для</w:t>
      </w:r>
      <w:r w:rsidR="00910259">
        <w:rPr>
          <w:rFonts w:eastAsia="Times New Roman"/>
          <w:sz w:val="28"/>
          <w:szCs w:val="28"/>
          <w:lang w:val="ru-RU"/>
        </w:rPr>
        <w:t xml:space="preserve"> развити</w:t>
      </w:r>
      <w:r w:rsidR="00470246">
        <w:rPr>
          <w:rFonts w:eastAsia="Times New Roman"/>
          <w:sz w:val="28"/>
          <w:szCs w:val="28"/>
          <w:lang w:val="ru-RU"/>
        </w:rPr>
        <w:t>я</w:t>
      </w:r>
      <w:r w:rsidR="00910259">
        <w:rPr>
          <w:rFonts w:eastAsia="Times New Roman"/>
          <w:sz w:val="28"/>
          <w:szCs w:val="28"/>
          <w:lang w:val="ru-RU"/>
        </w:rPr>
        <w:t xml:space="preserve"> секторов частной космонавтики в России</w:t>
      </w:r>
      <w:r w:rsidR="00470246">
        <w:rPr>
          <w:rFonts w:eastAsia="Times New Roman"/>
          <w:sz w:val="28"/>
          <w:szCs w:val="28"/>
          <w:lang w:val="ru-RU"/>
        </w:rPr>
        <w:t xml:space="preserve"> с учетом исторического опыта страны</w:t>
      </w:r>
      <w:r w:rsidR="00910259">
        <w:rPr>
          <w:rFonts w:eastAsia="Times New Roman"/>
          <w:sz w:val="28"/>
          <w:szCs w:val="28"/>
          <w:lang w:val="ru-RU"/>
        </w:rPr>
        <w:t xml:space="preserve">. На основе интервью представителей инвестиционных организаций и представителей частных космических компаний выявлены основные сдерживающие факторы и преимущества существующих механизмов финансирования, а также направлений их развития. </w:t>
      </w:r>
      <w:r w:rsidR="00910259">
        <w:rPr>
          <w:rFonts w:eastAsia="Times New Roman"/>
          <w:sz w:val="28"/>
          <w:szCs w:val="28"/>
          <w:lang w:val="ru-RU"/>
        </w:rPr>
        <w:t>Представлены результаты структурного анализа частных космический компаний в России</w:t>
      </w:r>
      <w:r w:rsidR="00470246">
        <w:rPr>
          <w:rFonts w:eastAsia="Times New Roman"/>
          <w:sz w:val="28"/>
          <w:szCs w:val="28"/>
          <w:lang w:val="ru-RU"/>
        </w:rPr>
        <w:t xml:space="preserve"> по секторам космической экономики</w:t>
      </w:r>
      <w:r w:rsidR="00910259">
        <w:rPr>
          <w:rFonts w:eastAsia="Times New Roman"/>
          <w:sz w:val="28"/>
          <w:szCs w:val="28"/>
          <w:lang w:val="ru-RU"/>
        </w:rPr>
        <w:t>, на основе</w:t>
      </w:r>
      <w:r w:rsidR="00910259" w:rsidRPr="003B2935">
        <w:rPr>
          <w:rFonts w:eastAsia="Times New Roman"/>
          <w:sz w:val="28"/>
          <w:szCs w:val="28"/>
        </w:rPr>
        <w:t xml:space="preserve"> анализ</w:t>
      </w:r>
      <w:r w:rsidR="00910259">
        <w:rPr>
          <w:rFonts w:eastAsia="Times New Roman"/>
          <w:sz w:val="28"/>
          <w:szCs w:val="28"/>
          <w:lang w:val="ru-RU"/>
        </w:rPr>
        <w:t>а</w:t>
      </w:r>
      <w:r w:rsidR="00910259" w:rsidRPr="003B2935">
        <w:rPr>
          <w:rFonts w:eastAsia="Times New Roman"/>
          <w:sz w:val="28"/>
          <w:szCs w:val="28"/>
        </w:rPr>
        <w:t xml:space="preserve"> бизнес-моделей частных космических компаний в России </w:t>
      </w:r>
      <w:r w:rsidR="00910259">
        <w:rPr>
          <w:rFonts w:eastAsia="Times New Roman"/>
          <w:sz w:val="28"/>
          <w:szCs w:val="28"/>
          <w:lang w:val="ru-RU"/>
        </w:rPr>
        <w:t>предложены</w:t>
      </w:r>
      <w:r w:rsidR="00910259" w:rsidRPr="003B2935">
        <w:rPr>
          <w:rFonts w:eastAsia="Times New Roman"/>
          <w:sz w:val="28"/>
          <w:szCs w:val="28"/>
        </w:rPr>
        <w:t xml:space="preserve"> методических прием</w:t>
      </w:r>
      <w:r w:rsidR="00910259">
        <w:rPr>
          <w:rFonts w:eastAsia="Times New Roman"/>
          <w:sz w:val="28"/>
          <w:szCs w:val="28"/>
          <w:lang w:val="ru-RU"/>
        </w:rPr>
        <w:t>ы</w:t>
      </w:r>
      <w:r w:rsidR="00910259" w:rsidRPr="003B2935">
        <w:rPr>
          <w:rFonts w:eastAsia="Times New Roman"/>
          <w:sz w:val="28"/>
          <w:szCs w:val="28"/>
        </w:rPr>
        <w:t xml:space="preserve"> повышения эффективности организационно-управленческого взаимодействия с инвесторами</w:t>
      </w:r>
      <w:r w:rsidR="00910259">
        <w:rPr>
          <w:rFonts w:eastAsia="Times New Roman"/>
          <w:sz w:val="28"/>
          <w:szCs w:val="28"/>
          <w:lang w:val="ru-RU"/>
        </w:rPr>
        <w:t xml:space="preserve">, а также </w:t>
      </w:r>
      <w:r w:rsidR="00470246">
        <w:rPr>
          <w:rFonts w:eastAsia="Times New Roman"/>
          <w:sz w:val="28"/>
          <w:szCs w:val="28"/>
          <w:lang w:val="ru-RU"/>
        </w:rPr>
        <w:t xml:space="preserve">построения методического инструментария </w:t>
      </w:r>
      <w:r w:rsidR="00910259">
        <w:rPr>
          <w:rFonts w:eastAsia="Times New Roman"/>
          <w:sz w:val="28"/>
          <w:szCs w:val="28"/>
          <w:lang w:val="ru-RU"/>
        </w:rPr>
        <w:t xml:space="preserve">обоснования </w:t>
      </w:r>
      <w:r w:rsidR="00470246">
        <w:rPr>
          <w:rFonts w:eastAsia="Times New Roman"/>
          <w:sz w:val="28"/>
          <w:szCs w:val="28"/>
          <w:lang w:val="ru-RU"/>
        </w:rPr>
        <w:t>финансово-</w:t>
      </w:r>
      <w:r w:rsidR="00910259">
        <w:rPr>
          <w:rFonts w:eastAsia="Times New Roman"/>
          <w:sz w:val="28"/>
          <w:szCs w:val="28"/>
          <w:lang w:val="ru-RU"/>
        </w:rPr>
        <w:t>инвестиционных решений</w:t>
      </w:r>
      <w:r w:rsidR="00910259" w:rsidRPr="003B2935">
        <w:rPr>
          <w:rFonts w:eastAsia="Times New Roman"/>
          <w:sz w:val="28"/>
          <w:szCs w:val="28"/>
        </w:rPr>
        <w:t>.</w:t>
      </w:r>
      <w:r w:rsidR="00470246" w:rsidRPr="00470246">
        <w:rPr>
          <w:rFonts w:eastAsia="Times New Roman"/>
          <w:sz w:val="28"/>
          <w:szCs w:val="28"/>
          <w:lang w:val="ru-RU"/>
        </w:rPr>
        <w:t xml:space="preserve"> </w:t>
      </w:r>
      <w:r w:rsidR="00470246">
        <w:rPr>
          <w:rFonts w:eastAsia="Times New Roman"/>
          <w:sz w:val="28"/>
          <w:szCs w:val="28"/>
          <w:lang w:val="ru-RU"/>
        </w:rPr>
        <w:t xml:space="preserve">Обоснована необходимость </w:t>
      </w:r>
      <w:r w:rsidR="00470246">
        <w:rPr>
          <w:rFonts w:eastAsia="Times New Roman"/>
          <w:sz w:val="28"/>
          <w:szCs w:val="28"/>
          <w:lang w:val="ru-RU"/>
        </w:rPr>
        <w:t>учет</w:t>
      </w:r>
      <w:r w:rsidR="00470246">
        <w:rPr>
          <w:rFonts w:eastAsia="Times New Roman"/>
          <w:sz w:val="28"/>
          <w:szCs w:val="28"/>
          <w:lang w:val="ru-RU"/>
        </w:rPr>
        <w:t>а</w:t>
      </w:r>
      <w:r w:rsidR="00470246">
        <w:rPr>
          <w:rFonts w:eastAsia="Times New Roman"/>
          <w:sz w:val="28"/>
          <w:szCs w:val="28"/>
          <w:lang w:val="ru-RU"/>
        </w:rPr>
        <w:t xml:space="preserve"> </w:t>
      </w:r>
      <w:r w:rsidR="00470246">
        <w:rPr>
          <w:rFonts w:eastAsia="Times New Roman"/>
          <w:sz w:val="28"/>
          <w:szCs w:val="28"/>
          <w:lang w:val="ru-RU"/>
        </w:rPr>
        <w:t xml:space="preserve">инженерно-технических </w:t>
      </w:r>
      <w:r w:rsidR="00470246">
        <w:rPr>
          <w:rFonts w:eastAsia="Times New Roman"/>
          <w:sz w:val="28"/>
          <w:szCs w:val="28"/>
          <w:lang w:val="ru-RU"/>
        </w:rPr>
        <w:t>особенностей</w:t>
      </w:r>
      <w:r w:rsidR="00470246">
        <w:rPr>
          <w:rFonts w:eastAsia="Times New Roman"/>
          <w:sz w:val="28"/>
          <w:szCs w:val="28"/>
          <w:lang w:val="ru-RU"/>
        </w:rPr>
        <w:t xml:space="preserve">, цепей создания стоимости, </w:t>
      </w:r>
      <w:r w:rsidR="00AE3C84">
        <w:rPr>
          <w:rFonts w:eastAsia="Times New Roman"/>
          <w:sz w:val="28"/>
          <w:szCs w:val="28"/>
          <w:lang w:val="ru-RU"/>
        </w:rPr>
        <w:t xml:space="preserve">ресурсного обеспечения, возможности взаимодействия с профессиональным сообществом, </w:t>
      </w:r>
      <w:r w:rsidR="00470246">
        <w:rPr>
          <w:rFonts w:eastAsia="Times New Roman"/>
          <w:sz w:val="28"/>
          <w:szCs w:val="28"/>
          <w:lang w:val="ru-RU"/>
        </w:rPr>
        <w:t>понимания и оценки рисков для разных</w:t>
      </w:r>
      <w:r w:rsidR="00470246">
        <w:rPr>
          <w:rFonts w:eastAsia="Times New Roman"/>
          <w:sz w:val="28"/>
          <w:szCs w:val="28"/>
          <w:lang w:val="ru-RU"/>
        </w:rPr>
        <w:t xml:space="preserve"> секторов развития космической отрасли</w:t>
      </w:r>
      <w:r w:rsidR="00470246">
        <w:rPr>
          <w:rFonts w:eastAsia="Times New Roman"/>
          <w:sz w:val="28"/>
          <w:szCs w:val="28"/>
          <w:lang w:val="ru-RU"/>
        </w:rPr>
        <w:t xml:space="preserve">. Делается вывод о необходимости учета данных параметров при построении финансовых механизмов и </w:t>
      </w:r>
      <w:r w:rsidR="00470246">
        <w:rPr>
          <w:rFonts w:eastAsia="Times New Roman"/>
          <w:sz w:val="28"/>
          <w:szCs w:val="28"/>
          <w:lang w:val="ru-RU"/>
        </w:rPr>
        <w:t>инструментов</w:t>
      </w:r>
      <w:r w:rsidR="00470246">
        <w:rPr>
          <w:rFonts w:eastAsia="Times New Roman"/>
          <w:sz w:val="28"/>
          <w:szCs w:val="28"/>
          <w:lang w:val="ru-RU"/>
        </w:rPr>
        <w:t xml:space="preserve">. Также делается акцент на важности учета </w:t>
      </w:r>
      <w:r w:rsidR="00470246">
        <w:rPr>
          <w:rFonts w:eastAsia="Times New Roman"/>
          <w:sz w:val="28"/>
          <w:szCs w:val="28"/>
          <w:lang w:val="ru-RU"/>
        </w:rPr>
        <w:t>моделей поведения</w:t>
      </w:r>
      <w:r w:rsidR="00470246">
        <w:rPr>
          <w:rFonts w:eastAsia="Times New Roman"/>
          <w:sz w:val="28"/>
          <w:szCs w:val="28"/>
          <w:lang w:val="ru-RU"/>
        </w:rPr>
        <w:t>, принятия решений</w:t>
      </w:r>
      <w:r w:rsidR="00470246">
        <w:rPr>
          <w:rFonts w:eastAsia="Times New Roman"/>
          <w:sz w:val="28"/>
          <w:szCs w:val="28"/>
          <w:lang w:val="ru-RU"/>
        </w:rPr>
        <w:t xml:space="preserve"> инвестор</w:t>
      </w:r>
      <w:r w:rsidR="00470246">
        <w:rPr>
          <w:rFonts w:eastAsia="Times New Roman"/>
          <w:sz w:val="28"/>
          <w:szCs w:val="28"/>
          <w:lang w:val="ru-RU"/>
        </w:rPr>
        <w:t>ами</w:t>
      </w:r>
      <w:r w:rsidR="00470246">
        <w:rPr>
          <w:rFonts w:eastAsia="Times New Roman"/>
          <w:sz w:val="28"/>
          <w:szCs w:val="28"/>
          <w:lang w:val="ru-RU"/>
        </w:rPr>
        <w:t xml:space="preserve"> </w:t>
      </w:r>
      <w:r w:rsidR="00470246">
        <w:rPr>
          <w:rFonts w:eastAsia="Times New Roman"/>
          <w:sz w:val="28"/>
          <w:szCs w:val="28"/>
          <w:lang w:val="ru-RU"/>
        </w:rPr>
        <w:lastRenderedPageBreak/>
        <w:t>разных групп</w:t>
      </w:r>
      <w:r w:rsidR="00470246">
        <w:rPr>
          <w:rFonts w:eastAsia="Times New Roman"/>
          <w:sz w:val="28"/>
          <w:szCs w:val="28"/>
          <w:lang w:val="ru-RU"/>
        </w:rPr>
        <w:t>, что является особенно важным при структурной трансформации российского рынка и количественном превалировании инвесторов-физических лиц</w:t>
      </w:r>
      <w:r w:rsidR="00470246" w:rsidRPr="003B2935">
        <w:rPr>
          <w:rFonts w:eastAsia="Times New Roman"/>
          <w:sz w:val="28"/>
          <w:szCs w:val="28"/>
        </w:rPr>
        <w:t>.</w:t>
      </w:r>
      <w:r w:rsidR="00470246">
        <w:rPr>
          <w:rFonts w:eastAsia="Times New Roman"/>
          <w:sz w:val="28"/>
          <w:szCs w:val="28"/>
          <w:lang w:val="ru-RU"/>
        </w:rPr>
        <w:t xml:space="preserve"> </w:t>
      </w:r>
      <w:r w:rsidR="003B2935" w:rsidRPr="003B2935">
        <w:rPr>
          <w:rFonts w:eastAsia="Times New Roman"/>
          <w:sz w:val="28"/>
          <w:szCs w:val="28"/>
        </w:rPr>
        <w:t>Представлены методические приемы для проведения сравнительного анализа инвестиционных инструментов</w:t>
      </w:r>
      <w:r w:rsidR="00470246">
        <w:rPr>
          <w:rFonts w:eastAsia="Times New Roman"/>
          <w:sz w:val="28"/>
          <w:szCs w:val="28"/>
          <w:lang w:val="ru-RU"/>
        </w:rPr>
        <w:t xml:space="preserve"> с учетом особенностей принятия решений в альтернативных инвестициях</w:t>
      </w:r>
      <w:r w:rsidR="003B2935" w:rsidRPr="003B2935">
        <w:rPr>
          <w:rFonts w:eastAsia="Times New Roman"/>
          <w:sz w:val="28"/>
          <w:szCs w:val="28"/>
        </w:rPr>
        <w:t xml:space="preserve">. Рассмотрены </w:t>
      </w:r>
      <w:r w:rsidR="00A44A06">
        <w:rPr>
          <w:rFonts w:eastAsia="Times New Roman"/>
          <w:sz w:val="28"/>
          <w:szCs w:val="28"/>
          <w:lang w:val="ru-RU"/>
        </w:rPr>
        <w:t xml:space="preserve">особенности </w:t>
      </w:r>
      <w:r w:rsidR="003B2935" w:rsidRPr="003B2935">
        <w:rPr>
          <w:rFonts w:eastAsia="Times New Roman"/>
          <w:sz w:val="28"/>
          <w:szCs w:val="28"/>
        </w:rPr>
        <w:t>финансирования частных космических компаний сектора производства ракет-носителей</w:t>
      </w:r>
      <w:r w:rsidR="00A44A06">
        <w:rPr>
          <w:rFonts w:eastAsia="Times New Roman"/>
          <w:sz w:val="28"/>
          <w:szCs w:val="28"/>
          <w:lang w:val="ru-RU"/>
        </w:rPr>
        <w:t xml:space="preserve"> частными фондами, а также вопросы расширения </w:t>
      </w:r>
      <w:r w:rsidR="00470246">
        <w:rPr>
          <w:rFonts w:eastAsia="Times New Roman"/>
          <w:sz w:val="28"/>
          <w:szCs w:val="28"/>
          <w:lang w:val="ru-RU"/>
        </w:rPr>
        <w:t xml:space="preserve">капитала за счет структурирования </w:t>
      </w:r>
      <w:r w:rsidR="00A44A06">
        <w:rPr>
          <w:rFonts w:eastAsia="Times New Roman"/>
          <w:sz w:val="28"/>
          <w:szCs w:val="28"/>
          <w:lang w:val="ru-RU"/>
        </w:rPr>
        <w:t>инвесторов</w:t>
      </w:r>
      <w:r w:rsidR="003B2935" w:rsidRPr="003B2935">
        <w:rPr>
          <w:rFonts w:eastAsia="Times New Roman"/>
          <w:sz w:val="28"/>
          <w:szCs w:val="28"/>
        </w:rPr>
        <w:t>.</w:t>
      </w:r>
      <w:r w:rsidR="003B2935" w:rsidRPr="003B2935">
        <w:rPr>
          <w:rFonts w:eastAsia="Times New Roman"/>
          <w:sz w:val="28"/>
          <w:szCs w:val="28"/>
          <w:lang w:val="ru-RU"/>
        </w:rPr>
        <w:t xml:space="preserve"> </w:t>
      </w:r>
    </w:p>
    <w:p w14:paraId="0F7716B3" w14:textId="677FEFE3" w:rsidR="00D46F31" w:rsidRPr="001E4BFA" w:rsidRDefault="00D46F31" w:rsidP="00D46F31">
      <w:pPr>
        <w:spacing w:line="240" w:lineRule="auto"/>
        <w:ind w:firstLine="720"/>
        <w:jc w:val="both"/>
        <w:rPr>
          <w:rFonts w:eastAsia="Times New Roman"/>
          <w:sz w:val="28"/>
          <w:szCs w:val="28"/>
          <w:lang w:val="ru-RU"/>
        </w:rPr>
      </w:pPr>
    </w:p>
    <w:p w14:paraId="30D790DD" w14:textId="28F0DC95" w:rsidR="00D46F31" w:rsidRPr="001E4BFA" w:rsidRDefault="00D46F31" w:rsidP="000C73D8">
      <w:pPr>
        <w:spacing w:line="240" w:lineRule="auto"/>
        <w:ind w:firstLine="720"/>
        <w:jc w:val="both"/>
        <w:rPr>
          <w:rFonts w:eastAsia="Times New Roman"/>
          <w:sz w:val="28"/>
          <w:szCs w:val="28"/>
          <w:lang w:val="ru-RU"/>
        </w:rPr>
      </w:pPr>
      <w:r w:rsidRPr="001E4BFA">
        <w:rPr>
          <w:rFonts w:eastAsia="Times New Roman"/>
          <w:b/>
          <w:sz w:val="28"/>
          <w:szCs w:val="28"/>
        </w:rPr>
        <w:t>Ключевые слова:</w:t>
      </w:r>
      <w:r w:rsidRPr="001E4BFA">
        <w:rPr>
          <w:rFonts w:eastAsia="Times New Roman"/>
          <w:sz w:val="28"/>
          <w:szCs w:val="28"/>
          <w:lang w:val="ru-RU"/>
        </w:rPr>
        <w:t xml:space="preserve"> </w:t>
      </w:r>
      <w:r w:rsidR="003B2935" w:rsidRPr="003B2935">
        <w:rPr>
          <w:rFonts w:eastAsia="Times New Roman"/>
          <w:sz w:val="28"/>
          <w:szCs w:val="28"/>
        </w:rPr>
        <w:t>финансовый механизм, частная космонавтика, инвестиции, управление активами, альтернативные инвестиции.</w:t>
      </w:r>
    </w:p>
    <w:p w14:paraId="247211DC" w14:textId="77777777" w:rsidR="008B2A05" w:rsidRPr="001E4BFA" w:rsidRDefault="008B2A05" w:rsidP="000C73D8">
      <w:pPr>
        <w:spacing w:line="240" w:lineRule="auto"/>
        <w:ind w:firstLine="720"/>
        <w:jc w:val="both"/>
        <w:rPr>
          <w:rFonts w:eastAsia="Times New Roman"/>
          <w:b/>
          <w:caps/>
          <w:sz w:val="32"/>
          <w:szCs w:val="32"/>
          <w:lang w:val="ru-RU"/>
        </w:rPr>
      </w:pPr>
    </w:p>
    <w:p w14:paraId="44710058" w14:textId="206501C3" w:rsidR="0039229E" w:rsidRPr="001E4BFA" w:rsidRDefault="0039229E" w:rsidP="0039229E">
      <w:pPr>
        <w:keepNext/>
        <w:rPr>
          <w:lang w:val="en-US"/>
        </w:rPr>
      </w:pPr>
      <w:r w:rsidRPr="001E4BFA">
        <w:rPr>
          <w:lang w:val="en-US"/>
        </w:rPr>
        <w:t>Original article</w:t>
      </w:r>
    </w:p>
    <w:p w14:paraId="452E0E7C" w14:textId="5AE7E779" w:rsidR="00E4337B" w:rsidRPr="001E4BFA" w:rsidRDefault="003B2935" w:rsidP="00BB064F">
      <w:pPr>
        <w:spacing w:before="120" w:after="120" w:line="240" w:lineRule="auto"/>
        <w:ind w:left="720"/>
        <w:jc w:val="center"/>
        <w:rPr>
          <w:rFonts w:eastAsia="Times New Roman"/>
          <w:b/>
          <w:caps/>
          <w:sz w:val="32"/>
          <w:szCs w:val="32"/>
          <w:lang w:val="en-US"/>
        </w:rPr>
      </w:pPr>
      <w:r w:rsidRPr="003B2935">
        <w:rPr>
          <w:rFonts w:eastAsia="Times New Roman"/>
          <w:b/>
          <w:bCs/>
          <w:caps/>
          <w:sz w:val="32"/>
          <w:szCs w:val="32"/>
          <w:lang w:val="en-US"/>
        </w:rPr>
        <w:t>FINANCIAL MECHANISMS FOR THE DEVELOPMENT OF PRIVATE SPACE COMPANIES IN RUSSIA</w:t>
      </w:r>
    </w:p>
    <w:p w14:paraId="42AF8B0C" w14:textId="77777777" w:rsidR="00804547" w:rsidRPr="001E4BFA" w:rsidRDefault="00804547" w:rsidP="00BB064F">
      <w:pPr>
        <w:spacing w:before="120" w:after="120" w:line="240" w:lineRule="auto"/>
        <w:ind w:left="720"/>
        <w:jc w:val="center"/>
        <w:rPr>
          <w:rFonts w:eastAsia="Times New Roman"/>
          <w:b/>
          <w:caps/>
          <w:sz w:val="32"/>
          <w:szCs w:val="32"/>
          <w:lang w:val="en-US"/>
        </w:rPr>
      </w:pPr>
    </w:p>
    <w:p w14:paraId="5C7A1014" w14:textId="0DE9BA87" w:rsidR="00804547" w:rsidRPr="001E4BFA" w:rsidRDefault="00D46F31" w:rsidP="00804547">
      <w:pPr>
        <w:spacing w:line="240" w:lineRule="auto"/>
        <w:jc w:val="center"/>
        <w:rPr>
          <w:rFonts w:eastAsia="Times New Roman"/>
          <w:b/>
          <w:sz w:val="28"/>
          <w:szCs w:val="28"/>
          <w:lang w:val="en-US"/>
        </w:rPr>
      </w:pPr>
      <w:r w:rsidRPr="001E4BFA">
        <w:rPr>
          <w:rFonts w:eastAsia="Times New Roman"/>
          <w:b/>
          <w:sz w:val="28"/>
          <w:szCs w:val="28"/>
          <w:lang w:val="en-US"/>
        </w:rPr>
        <w:t>A.</w:t>
      </w:r>
      <w:r w:rsidR="003B2935">
        <w:rPr>
          <w:rFonts w:eastAsia="Times New Roman"/>
          <w:b/>
          <w:sz w:val="28"/>
          <w:szCs w:val="28"/>
          <w:lang w:val="en-US"/>
        </w:rPr>
        <w:t>V</w:t>
      </w:r>
      <w:r w:rsidRPr="001E4BFA">
        <w:rPr>
          <w:rFonts w:eastAsia="Times New Roman"/>
          <w:b/>
          <w:sz w:val="28"/>
          <w:szCs w:val="28"/>
          <w:lang w:val="en-US"/>
        </w:rPr>
        <w:t xml:space="preserve">. </w:t>
      </w:r>
      <w:r w:rsidR="003B2935">
        <w:rPr>
          <w:rFonts w:eastAsia="Times New Roman"/>
          <w:b/>
          <w:sz w:val="28"/>
          <w:szCs w:val="28"/>
          <w:lang w:val="en-US"/>
        </w:rPr>
        <w:t>Pilyugina</w:t>
      </w:r>
      <w:r w:rsidR="00804547" w:rsidRPr="001E4BFA">
        <w:rPr>
          <w:rFonts w:eastAsia="Times New Roman"/>
          <w:b/>
          <w:sz w:val="28"/>
          <w:szCs w:val="28"/>
          <w:vertAlign w:val="superscript"/>
          <w:lang w:val="en-US"/>
        </w:rPr>
        <w:t>1</w:t>
      </w:r>
      <w:r w:rsidR="00804547" w:rsidRPr="001E4BFA">
        <w:rPr>
          <w:rFonts w:eastAsia="Times New Roman"/>
          <w:b/>
          <w:sz w:val="28"/>
          <w:szCs w:val="28"/>
          <w:lang w:val="en-US"/>
        </w:rPr>
        <w:t xml:space="preserve"> </w:t>
      </w:r>
    </w:p>
    <w:p w14:paraId="7C26A1F7" w14:textId="77777777" w:rsidR="0039229E" w:rsidRPr="001E4BFA" w:rsidRDefault="0039229E" w:rsidP="00D46F31">
      <w:pPr>
        <w:spacing w:line="240" w:lineRule="auto"/>
        <w:jc w:val="center"/>
        <w:rPr>
          <w:rFonts w:eastAsia="Times New Roman"/>
          <w:b/>
          <w:sz w:val="28"/>
          <w:szCs w:val="28"/>
          <w:lang w:val="en-US"/>
        </w:rPr>
      </w:pPr>
    </w:p>
    <w:p w14:paraId="358C8157" w14:textId="511DB7F2" w:rsidR="00D46F31" w:rsidRPr="001E4BFA" w:rsidRDefault="00D46F31" w:rsidP="00D46F31">
      <w:pPr>
        <w:spacing w:line="240" w:lineRule="auto"/>
        <w:jc w:val="center"/>
        <w:rPr>
          <w:rFonts w:eastAsia="Times New Roman"/>
          <w:b/>
          <w:sz w:val="28"/>
          <w:szCs w:val="28"/>
          <w:lang w:val="en-US"/>
        </w:rPr>
      </w:pPr>
      <w:r w:rsidRPr="001E4BFA">
        <w:rPr>
          <w:rFonts w:eastAsia="Times New Roman"/>
          <w:b/>
          <w:sz w:val="28"/>
          <w:szCs w:val="28"/>
          <w:lang w:val="en-US"/>
        </w:rPr>
        <w:t xml:space="preserve">Bauman Moscow State Technical University, Moscow, Russia  </w:t>
      </w:r>
    </w:p>
    <w:p w14:paraId="4F0AD4AC" w14:textId="77777777" w:rsidR="00804547" w:rsidRPr="001E4BFA" w:rsidRDefault="00804547" w:rsidP="00D46F31">
      <w:pPr>
        <w:spacing w:line="240" w:lineRule="auto"/>
        <w:jc w:val="center"/>
        <w:rPr>
          <w:rFonts w:eastAsia="Times New Roman"/>
          <w:sz w:val="28"/>
          <w:szCs w:val="28"/>
          <w:lang w:val="en-US"/>
        </w:rPr>
      </w:pPr>
    </w:p>
    <w:p w14:paraId="14E7137C" w14:textId="11B7DA35" w:rsidR="00804547" w:rsidRPr="003B2935" w:rsidRDefault="00804547" w:rsidP="0076477D">
      <w:pPr>
        <w:spacing w:line="240" w:lineRule="auto"/>
        <w:jc w:val="center"/>
        <w:rPr>
          <w:rStyle w:val="af3"/>
          <w:rFonts w:eastAsia="Times New Roman"/>
          <w:color w:val="auto"/>
          <w:sz w:val="28"/>
          <w:szCs w:val="28"/>
          <w:lang w:val="en-US"/>
        </w:rPr>
      </w:pPr>
      <w:r w:rsidRPr="001E4BFA">
        <w:rPr>
          <w:sz w:val="28"/>
          <w:szCs w:val="28"/>
          <w:vertAlign w:val="superscript"/>
          <w:lang w:val="en-US"/>
        </w:rPr>
        <w:t>1</w:t>
      </w:r>
      <w:r w:rsidR="003B2935" w:rsidRPr="003B2935">
        <w:rPr>
          <w:i/>
          <w:sz w:val="28"/>
          <w:szCs w:val="28"/>
          <w:lang w:val="en-US"/>
        </w:rPr>
        <w:t xml:space="preserve"> </w:t>
      </w:r>
      <w:r w:rsidR="003B2935" w:rsidRPr="0027115E">
        <w:rPr>
          <w:i/>
          <w:sz w:val="28"/>
          <w:szCs w:val="28"/>
          <w:lang w:val="en-US"/>
        </w:rPr>
        <w:t>pilyuginaanna</w:t>
      </w:r>
      <w:r w:rsidR="003B2935" w:rsidRPr="003B2935">
        <w:rPr>
          <w:i/>
          <w:sz w:val="28"/>
          <w:szCs w:val="28"/>
          <w:lang w:val="en-US"/>
        </w:rPr>
        <w:t>@</w:t>
      </w:r>
      <w:r w:rsidR="003B2935" w:rsidRPr="0027115E">
        <w:rPr>
          <w:i/>
          <w:sz w:val="28"/>
          <w:szCs w:val="28"/>
          <w:lang w:val="en-US"/>
        </w:rPr>
        <w:t>bmstu</w:t>
      </w:r>
      <w:r w:rsidR="003B2935" w:rsidRPr="003B2935">
        <w:rPr>
          <w:i/>
          <w:sz w:val="28"/>
          <w:szCs w:val="28"/>
          <w:lang w:val="en-US"/>
        </w:rPr>
        <w:t>.</w:t>
      </w:r>
      <w:r w:rsidR="003B2935" w:rsidRPr="0027115E">
        <w:rPr>
          <w:i/>
          <w:sz w:val="28"/>
          <w:szCs w:val="28"/>
          <w:lang w:val="en-US"/>
        </w:rPr>
        <w:t>ru</w:t>
      </w:r>
      <w:r w:rsidR="003B2935" w:rsidRPr="003B2935">
        <w:rPr>
          <w:i/>
          <w:sz w:val="28"/>
          <w:szCs w:val="28"/>
          <w:lang w:val="en-US"/>
        </w:rPr>
        <w:t xml:space="preserve">, </w:t>
      </w:r>
      <w:r w:rsidR="003B2935" w:rsidRPr="0027115E">
        <w:rPr>
          <w:i/>
          <w:sz w:val="28"/>
          <w:szCs w:val="28"/>
          <w:lang w:val="en-US"/>
        </w:rPr>
        <w:t>https</w:t>
      </w:r>
      <w:r w:rsidR="003B2935" w:rsidRPr="003B2935">
        <w:rPr>
          <w:i/>
          <w:sz w:val="28"/>
          <w:szCs w:val="28"/>
          <w:lang w:val="en-US"/>
        </w:rPr>
        <w:t>://</w:t>
      </w:r>
      <w:r w:rsidR="003B2935" w:rsidRPr="0027115E">
        <w:rPr>
          <w:i/>
          <w:sz w:val="28"/>
          <w:szCs w:val="28"/>
          <w:lang w:val="en-US"/>
        </w:rPr>
        <w:t>orcid</w:t>
      </w:r>
      <w:r w:rsidR="003B2935" w:rsidRPr="003B2935">
        <w:rPr>
          <w:i/>
          <w:sz w:val="28"/>
          <w:szCs w:val="28"/>
          <w:lang w:val="en-US"/>
        </w:rPr>
        <w:t>.</w:t>
      </w:r>
      <w:r w:rsidR="003B2935" w:rsidRPr="0027115E">
        <w:rPr>
          <w:i/>
          <w:sz w:val="28"/>
          <w:szCs w:val="28"/>
          <w:lang w:val="en-US"/>
        </w:rPr>
        <w:t>org</w:t>
      </w:r>
      <w:r w:rsidR="003B2935" w:rsidRPr="003B2935">
        <w:rPr>
          <w:i/>
          <w:sz w:val="28"/>
          <w:szCs w:val="28"/>
          <w:lang w:val="en-US"/>
        </w:rPr>
        <w:t>/0000-0002-4789-8925</w:t>
      </w:r>
    </w:p>
    <w:p w14:paraId="2DCC2630" w14:textId="34F50A0F" w:rsidR="00D46F31" w:rsidRPr="001E4BFA" w:rsidRDefault="00D46F31" w:rsidP="00666EB5">
      <w:pPr>
        <w:spacing w:line="240" w:lineRule="auto"/>
        <w:rPr>
          <w:rFonts w:eastAsia="Times New Roman"/>
          <w:sz w:val="28"/>
          <w:szCs w:val="28"/>
          <w:lang w:val="en-US"/>
        </w:rPr>
      </w:pPr>
    </w:p>
    <w:p w14:paraId="2E61313B" w14:textId="34A02F8C" w:rsidR="00091CC9" w:rsidRPr="001E4BFA" w:rsidRDefault="003952C3" w:rsidP="0076477D">
      <w:pPr>
        <w:spacing w:line="240" w:lineRule="auto"/>
        <w:ind w:firstLine="720"/>
        <w:jc w:val="both"/>
        <w:rPr>
          <w:rFonts w:eastAsia="Times New Roman"/>
          <w:sz w:val="28"/>
          <w:szCs w:val="28"/>
          <w:lang w:val="en-US"/>
        </w:rPr>
      </w:pPr>
      <w:r w:rsidRPr="001E4BFA">
        <w:rPr>
          <w:rFonts w:eastAsia="Times New Roman"/>
          <w:b/>
          <w:bCs/>
          <w:sz w:val="28"/>
          <w:szCs w:val="28"/>
          <w:lang w:val="en-US"/>
        </w:rPr>
        <w:t>Annotation.</w:t>
      </w:r>
      <w:r w:rsidRPr="001E4BFA">
        <w:rPr>
          <w:rFonts w:eastAsia="Times New Roman"/>
          <w:sz w:val="28"/>
          <w:szCs w:val="28"/>
          <w:lang w:val="en-US"/>
        </w:rPr>
        <w:t xml:space="preserve"> </w:t>
      </w:r>
      <w:r w:rsidR="0076477D" w:rsidRPr="0076477D">
        <w:rPr>
          <w:rFonts w:eastAsia="Times New Roman"/>
          <w:sz w:val="28"/>
          <w:szCs w:val="28"/>
          <w:lang w:val="en-US"/>
        </w:rPr>
        <w:t xml:space="preserve">The article presents the results of an analysis of the financial mechanisms used for the development of private space companies at the present stage. Increasing investment dynamics is hindered by limitations not only in the availability of a variety of financial resources, but also in the analytical tools available to investors. The analysis of approaches to the construction of private space systems of foreign scientific research institutes, taking into account the historical context, is carried out. The main focus is on the examples of the United States and China, and the traditional and innovative financial mechanisms they use. An assumption is made about the basic hypotheses when synthesizing solutions from foreign countries for the development of private space sectors in Russia, taking into account the historical experience of the country. Based on interviews with representatives of investment organizations and representatives of private space companies, the main constraints and advantages of existing financing mechanisms, as well as the directions of their development, have been identified. The results of a structural analysis of private space companies </w:t>
      </w:r>
      <w:r w:rsidR="0076477D" w:rsidRPr="0076477D">
        <w:rPr>
          <w:rFonts w:eastAsia="Times New Roman"/>
          <w:sz w:val="28"/>
          <w:szCs w:val="28"/>
          <w:lang w:val="en-US"/>
        </w:rPr>
        <w:lastRenderedPageBreak/>
        <w:t>in Russia by sectors of the space economy are presented. Based on the analysis of business models of private space companies in Russia, methodological techniques for improving the effectiveness of organizational and managerial interaction with investors are proposed, as well as the construction of methodological tools for substantiating financial and investment decisions. The necessity of taking into account engineering and technical features, value chains, resource provision, the possibility of interaction with the professional community, understanding and assessing risks for different sectors of the space industry development is substantiated. It is concluded that it is necessary to take these parameters into account when building financial mechanisms and instruments. The emphasis is also placed on the importance of taking into account behavioral patterns and decision-making by investors of different groups, which is especially important in the context of the structural transformation of the Russian market and the quantitative predominance of individual investors. Methodological techniques for conducting a comparative analysis of investment instruments, taking into account the specifics of decision-making in alternative investments, are presented. The features of financing private space companies in the launch vehicle manufacturing sector by private funds, as well as issues of capital expansion through investor structuring, are considered.</w:t>
      </w:r>
    </w:p>
    <w:p w14:paraId="0E0D84FE" w14:textId="21F72A91" w:rsidR="00D46F31" w:rsidRPr="001E4BFA" w:rsidRDefault="00D46F31" w:rsidP="00D46F31">
      <w:pPr>
        <w:spacing w:line="240" w:lineRule="auto"/>
        <w:ind w:firstLine="720"/>
        <w:jc w:val="both"/>
        <w:rPr>
          <w:rFonts w:eastAsia="Times New Roman"/>
          <w:sz w:val="28"/>
          <w:szCs w:val="28"/>
          <w:lang w:val="en-US"/>
        </w:rPr>
      </w:pPr>
      <w:r w:rsidRPr="001E4BFA">
        <w:rPr>
          <w:rFonts w:eastAsia="Times New Roman"/>
          <w:b/>
          <w:bCs/>
          <w:sz w:val="28"/>
          <w:szCs w:val="28"/>
          <w:lang w:val="en-US"/>
        </w:rPr>
        <w:t>Keywords:</w:t>
      </w:r>
      <w:r w:rsidRPr="001E4BFA">
        <w:rPr>
          <w:rFonts w:eastAsia="Times New Roman"/>
          <w:sz w:val="28"/>
          <w:szCs w:val="28"/>
          <w:lang w:val="en-US"/>
        </w:rPr>
        <w:t xml:space="preserve"> </w:t>
      </w:r>
      <w:r w:rsidR="0076477D" w:rsidRPr="0076477D">
        <w:rPr>
          <w:rFonts w:eastAsia="Times New Roman"/>
          <w:sz w:val="28"/>
          <w:szCs w:val="28"/>
          <w:lang w:val="en-US"/>
        </w:rPr>
        <w:t>financial mechanism, private space, investments, asset management, alternative investments</w:t>
      </w:r>
    </w:p>
    <w:p w14:paraId="7F1DAF74" w14:textId="6B61FAC8" w:rsidR="003D59B3" w:rsidRPr="00203CC7" w:rsidRDefault="00D46F31" w:rsidP="00D46F31">
      <w:pPr>
        <w:keepNext/>
        <w:spacing w:before="120" w:after="120" w:line="240" w:lineRule="auto"/>
        <w:outlineLvl w:val="0"/>
        <w:rPr>
          <w:rFonts w:eastAsia="Times New Roman"/>
          <w:b/>
          <w:i/>
          <w:color w:val="0070C0"/>
          <w:sz w:val="28"/>
          <w:szCs w:val="28"/>
        </w:rPr>
      </w:pPr>
      <w:r w:rsidRPr="00203CC7">
        <w:rPr>
          <w:rFonts w:eastAsia="Times New Roman"/>
          <w:b/>
          <w:i/>
          <w:color w:val="0070C0"/>
          <w:sz w:val="28"/>
          <w:szCs w:val="28"/>
        </w:rPr>
        <w:t>&lt;</w:t>
      </w:r>
      <w:r w:rsidR="009B0CC6" w:rsidRPr="00203CC7">
        <w:rPr>
          <w:rFonts w:eastAsia="Times New Roman"/>
          <w:b/>
          <w:i/>
          <w:color w:val="0070C0"/>
          <w:sz w:val="28"/>
          <w:szCs w:val="28"/>
        </w:rPr>
        <w:t>Введение</w:t>
      </w:r>
      <w:r w:rsidRPr="00203CC7">
        <w:rPr>
          <w:rFonts w:eastAsia="Times New Roman"/>
          <w:b/>
          <w:i/>
          <w:color w:val="0070C0"/>
          <w:sz w:val="28"/>
          <w:szCs w:val="28"/>
        </w:rPr>
        <w:t>&gt;</w:t>
      </w:r>
    </w:p>
    <w:p w14:paraId="2B2F7D83" w14:textId="32B35D5C" w:rsidR="00A164DB" w:rsidRPr="00A164DB" w:rsidRDefault="00A164DB" w:rsidP="00A164DB">
      <w:pPr>
        <w:spacing w:before="220" w:after="40" w:line="240" w:lineRule="auto"/>
        <w:ind w:firstLine="709"/>
        <w:jc w:val="both"/>
        <w:rPr>
          <w:rFonts w:eastAsia="Times New Roman"/>
          <w:sz w:val="28"/>
          <w:szCs w:val="28"/>
          <w:lang w:val="en-US"/>
        </w:rPr>
      </w:pPr>
      <w:r w:rsidRPr="00A164DB">
        <w:rPr>
          <w:rFonts w:eastAsia="Times New Roman"/>
          <w:sz w:val="28"/>
          <w:szCs w:val="28"/>
          <w:lang w:val="ru-RU"/>
        </w:rPr>
        <w:t xml:space="preserve">Развитие космической деятельности на современном этапе сосредоточено на поиске путей и направлений, обладающих высоким социально-экономическим потенциалом как на уровне национальных социально-экономических систем, так и в деле развития организаций, предприятий и домашних хозяйств. Традиционный взгляд на роль частных космических компаний связан с оценкой их влияния на создание и развитие конкурентной среды, получению расширенных преимуществ от инновационных решений, что призвано служить наращению научно-промышленного и коммерческого потенциала космических исследований и смежных областей. </w:t>
      </w:r>
      <w:r w:rsidR="00943D76">
        <w:rPr>
          <w:rFonts w:eastAsia="Times New Roman"/>
          <w:sz w:val="28"/>
          <w:szCs w:val="28"/>
          <w:lang w:val="en-US"/>
        </w:rPr>
        <w:t>[10</w:t>
      </w:r>
      <w:r w:rsidR="00943D76">
        <w:rPr>
          <w:rFonts w:eastAsia="Times New Roman"/>
          <w:sz w:val="28"/>
          <w:szCs w:val="28"/>
          <w:lang w:val="ru-RU"/>
        </w:rPr>
        <w:t>, 12</w:t>
      </w:r>
      <w:r w:rsidR="00943D76">
        <w:rPr>
          <w:rFonts w:eastAsia="Times New Roman"/>
          <w:sz w:val="28"/>
          <w:szCs w:val="28"/>
          <w:lang w:val="en-US"/>
        </w:rPr>
        <w:t>]</w:t>
      </w:r>
    </w:p>
    <w:p w14:paraId="5AD83F22" w14:textId="2E8975D0" w:rsidR="00A164DB" w:rsidRPr="00A164DB" w:rsidRDefault="00A164DB" w:rsidP="00A164DB">
      <w:pPr>
        <w:spacing w:before="220" w:after="40" w:line="240" w:lineRule="auto"/>
        <w:ind w:firstLine="709"/>
        <w:jc w:val="both"/>
        <w:rPr>
          <w:rFonts w:eastAsia="Times New Roman"/>
          <w:sz w:val="28"/>
          <w:szCs w:val="28"/>
          <w:lang w:val="en-US"/>
        </w:rPr>
      </w:pPr>
      <w:r w:rsidRPr="00A164DB">
        <w:rPr>
          <w:rFonts w:eastAsia="Times New Roman"/>
          <w:sz w:val="28"/>
          <w:szCs w:val="28"/>
          <w:lang w:val="ru-RU"/>
        </w:rPr>
        <w:t xml:space="preserve">Космическая отрасль во всем мире ведет свое активное развитие с середины прошлого века, когда производство элементов для реализации крупномасштабных космических проектов привлекался широкий круг предприятий, организаций (например, передача производства частным компаниям, учитывая опыт НАСА (Национального управления по аэронавтике и исследованию </w:t>
      </w:r>
      <w:r w:rsidRPr="00A164DB">
        <w:rPr>
          <w:rFonts w:eastAsia="Times New Roman"/>
          <w:sz w:val="28"/>
          <w:szCs w:val="28"/>
          <w:lang w:val="ru-RU"/>
        </w:rPr>
        <w:lastRenderedPageBreak/>
        <w:t xml:space="preserve">космического пространства США). Также создавались космические направления в деятельности авиационных компаний и компаний оборонной промышленности (Boeing, Lockheed Martin и др.). Космические технологии исторически разрабатывались как для гражданских, так и для оборонных заказчиков, что также определило развитие отрасли и продолжает оказывать трансформирующее влияние на современном этапе. </w:t>
      </w:r>
      <w:r w:rsidR="00943D76">
        <w:rPr>
          <w:rFonts w:eastAsia="Times New Roman"/>
          <w:sz w:val="28"/>
          <w:szCs w:val="28"/>
          <w:lang w:val="en-US"/>
        </w:rPr>
        <w:t>[4]</w:t>
      </w:r>
    </w:p>
    <w:p w14:paraId="34FAE9B9" w14:textId="49DA88BF" w:rsidR="00A164DB" w:rsidRPr="00A164DB" w:rsidRDefault="00A164DB" w:rsidP="00A164DB">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При этом на протяжении последних двух десятков лет активно стали говорить о новых особенностях развития космической отрасли, новых цепях создания стоимости, связанных с растущей ориентацией на новых клиентов, новыми бизнес-моделями и новыми подходами для разработки продуктов и услуг. В попытке коммерциализировать космос принято учитывать такие факторы, как развитие платформенной экономики, снижение барьеров входа в космическую отрасль, развитие форм государственно-частного партнерства и иных финансовых инструментов. Все это способствовало тому, что частные компании расширяли свое участие на всех этапах жизненного цикла космических проектов.</w:t>
      </w:r>
      <w:r w:rsidR="00943D76" w:rsidRPr="00943D76">
        <w:rPr>
          <w:rFonts w:eastAsia="Times New Roman"/>
          <w:sz w:val="28"/>
          <w:szCs w:val="28"/>
          <w:lang w:val="ru-RU"/>
        </w:rPr>
        <w:t xml:space="preserve"> </w:t>
      </w:r>
      <w:r w:rsidR="00943D76" w:rsidRPr="00D1443C">
        <w:rPr>
          <w:rFonts w:eastAsia="Times New Roman"/>
          <w:sz w:val="28"/>
          <w:szCs w:val="28"/>
          <w:lang w:val="ru-RU"/>
        </w:rPr>
        <w:t>[3]</w:t>
      </w:r>
    </w:p>
    <w:p w14:paraId="61301E64" w14:textId="77777777" w:rsidR="00D1443C" w:rsidRPr="00A164DB" w:rsidRDefault="00D1443C" w:rsidP="00D1443C">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xml:space="preserve">Космическая отрасль определяется также следующими факторами, определяющими развитие сектора частных космических компаний: </w:t>
      </w:r>
    </w:p>
    <w:p w14:paraId="0E0AD293" w14:textId="77777777" w:rsidR="00D1443C" w:rsidRPr="00A164DB" w:rsidRDefault="00D1443C" w:rsidP="00D1443C">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глобальная и национальные космические экономики и их коммерческие сектора в значительной степени движимы крупнейшими заказчиками в лице правительств стран. Данный вид финансирования для коммерческих компаний рассматривается как обеспечение постоянного потока поступлений, не привязывая результаты данных компаний к более широким рыночным условиям;</w:t>
      </w:r>
    </w:p>
    <w:p w14:paraId="503D08A0" w14:textId="77777777" w:rsidR="00D1443C" w:rsidRPr="00A164DB" w:rsidRDefault="00D1443C" w:rsidP="00D1443C">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основными факторами быстрого увеличения количества объектов, запускаемых в космос, принято считать снижение затрат на запуск, а также уменьшение размера и веса космических аппаратов при одновременном увеличении эксплуатационных возможностей (в соответствии с ожиданиями Закона Мура). Эти факторы рассматриваются как оказывающие понижательное давление на цену и размер независимо от других рыночных факторов.</w:t>
      </w:r>
    </w:p>
    <w:p w14:paraId="18E5270A" w14:textId="6C625712" w:rsidR="00A164DB" w:rsidRPr="00A164DB" w:rsidRDefault="00A164DB" w:rsidP="00A164DB">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xml:space="preserve">При всей однозначности и стратегической значимости роли государств в космосе, законодательства разных стран совершенствуются для создания среды развития частных космических компаний как перспективного направления. В этой связи </w:t>
      </w:r>
      <w:r w:rsidRPr="00A164DB">
        <w:rPr>
          <w:rFonts w:eastAsia="Times New Roman"/>
          <w:sz w:val="28"/>
          <w:szCs w:val="28"/>
          <w:lang w:val="ru-RU"/>
        </w:rPr>
        <w:lastRenderedPageBreak/>
        <w:t xml:space="preserve">возрастает роль теоретико-методической базы принятия решений при взаимодействии частного капитала и инженерно-технических команд, обладающих компетенциями в развитии космических проектов. </w:t>
      </w:r>
    </w:p>
    <w:p w14:paraId="35A85670" w14:textId="43901178" w:rsidR="001237E7" w:rsidRPr="00A164DB" w:rsidRDefault="001237E7" w:rsidP="001237E7">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Принципиально важным для понимания развития социально-экономических систем с учётом коммерческого космического сектора является понимание уникальности перспективных моделей создания и последующего развития частной космонавтики, как это явно прослеживается в дифференциации моделей США (через создание в 80-е гг. механизмов передачи частным компаниям государственных разработок и технологий до стратегии коммерческой космической интеграции в 2024 г.) и Китая (через развитие инвестиционных и финансовых механизмов в ключевых областях для поощрения социальных инвестиций).</w:t>
      </w:r>
      <w:r w:rsidR="00943D76">
        <w:rPr>
          <w:rFonts w:eastAsia="Times New Roman"/>
          <w:sz w:val="28"/>
          <w:szCs w:val="28"/>
          <w:lang w:val="ru-RU"/>
        </w:rPr>
        <w:t xml:space="preserve"> </w:t>
      </w:r>
      <w:r w:rsidR="00943D76" w:rsidRPr="00A22C9A">
        <w:rPr>
          <w:rFonts w:eastAsia="Times New Roman"/>
          <w:sz w:val="28"/>
          <w:szCs w:val="28"/>
          <w:lang w:val="ru-RU"/>
        </w:rPr>
        <w:t>[5]</w:t>
      </w:r>
    </w:p>
    <w:p w14:paraId="1608E9F8" w14:textId="79D8B0B3" w:rsidR="001237E7" w:rsidRPr="00A164DB" w:rsidRDefault="001237E7" w:rsidP="001237E7">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К традиционным инструментам государственно-частного партнерства и венчурного инвестирования как альтернативным активам (опыт США, Европы) Китай добавил как использование распространенных инструментов создания инвестиционных фондов, интеграции промышленного и финансового капитала, создания лизинговых компаний, развития методов гарантированного кредитования, распределения рисков (фонд рискового капитала, объединения и фонды страхования) и компенсаций, так и ряд инновационных методов, например, секъюритизацию активов (использование прав на доходы от НИОКР и др.). Например, рост коммерческого рынка Китая оценивается как 20% в год (что соответствует самым смелым прогнозам аналитических агентств) и в оценке 2024 года ожидается на уровне 29,5 трлн р. с учетом текущего курса, и за последние десять лет объем инвестиций в частные компании составил 0,7 трлн р. Развитие частных космических компаний в США было связано с инструментами венчурного инвестирования, когда начинающие космические предприятия финансировались так, что на фирмы венчурного капитала приходилось почти три четверти инвесторов в 2022 году и, наряду с корпорациями и бизнес-ангелами, более 90% инвесторов. Общий объем инвестиций за двадцать лет с 2000 г. составил 46,5 млрд долл., из них 58% пришлось на фирмы венчурного капитала. [</w:t>
      </w:r>
      <w:r w:rsidR="00943D76" w:rsidRPr="00D1443C">
        <w:rPr>
          <w:rFonts w:eastAsia="Times New Roman"/>
          <w:sz w:val="28"/>
          <w:szCs w:val="28"/>
          <w:lang w:val="ru-RU"/>
        </w:rPr>
        <w:t>1</w:t>
      </w:r>
      <w:r w:rsidRPr="00A164DB">
        <w:rPr>
          <w:rFonts w:eastAsia="Times New Roman"/>
          <w:sz w:val="28"/>
          <w:szCs w:val="28"/>
          <w:lang w:val="ru-RU"/>
        </w:rPr>
        <w:t xml:space="preserve">]. </w:t>
      </w:r>
    </w:p>
    <w:p w14:paraId="2610F698" w14:textId="59FA49C7" w:rsidR="00D1443C" w:rsidRPr="00A164DB" w:rsidRDefault="00D1443C" w:rsidP="00D1443C">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xml:space="preserve">Финансирование частных космических компаний </w:t>
      </w:r>
      <w:r>
        <w:rPr>
          <w:rFonts w:eastAsia="Times New Roman"/>
          <w:sz w:val="28"/>
          <w:szCs w:val="28"/>
          <w:lang w:val="ru-RU"/>
        </w:rPr>
        <w:t xml:space="preserve">буквально </w:t>
      </w:r>
      <w:r w:rsidRPr="00A164DB">
        <w:rPr>
          <w:rFonts w:eastAsia="Times New Roman"/>
          <w:sz w:val="28"/>
          <w:szCs w:val="28"/>
          <w:lang w:val="ru-RU"/>
        </w:rPr>
        <w:t xml:space="preserve">несколько лет назад </w:t>
      </w:r>
      <w:r>
        <w:rPr>
          <w:rFonts w:eastAsia="Times New Roman"/>
          <w:sz w:val="28"/>
          <w:szCs w:val="28"/>
          <w:lang w:val="ru-RU"/>
        </w:rPr>
        <w:t>активно</w:t>
      </w:r>
      <w:r w:rsidRPr="00A164DB">
        <w:rPr>
          <w:rFonts w:eastAsia="Times New Roman"/>
          <w:sz w:val="28"/>
          <w:szCs w:val="28"/>
          <w:lang w:val="ru-RU"/>
        </w:rPr>
        <w:t xml:space="preserve"> осуществл</w:t>
      </w:r>
      <w:r>
        <w:rPr>
          <w:rFonts w:eastAsia="Times New Roman"/>
          <w:sz w:val="28"/>
          <w:szCs w:val="28"/>
          <w:lang w:val="ru-RU"/>
        </w:rPr>
        <w:t>ялось</w:t>
      </w:r>
      <w:r w:rsidRPr="00A164DB">
        <w:rPr>
          <w:rFonts w:eastAsia="Times New Roman"/>
          <w:sz w:val="28"/>
          <w:szCs w:val="28"/>
          <w:lang w:val="ru-RU"/>
        </w:rPr>
        <w:t xml:space="preserve"> через такие инструменты как специальные технические компании для выхода на биржу (</w:t>
      </w:r>
      <w:r w:rsidRPr="00A164DB">
        <w:rPr>
          <w:rFonts w:eastAsia="Times New Roman"/>
          <w:sz w:val="28"/>
          <w:szCs w:val="28"/>
          <w:lang w:val="en-US"/>
        </w:rPr>
        <w:t>SPAC</w:t>
      </w:r>
      <w:r w:rsidRPr="00A164DB">
        <w:rPr>
          <w:rFonts w:eastAsia="Times New Roman"/>
          <w:sz w:val="28"/>
          <w:szCs w:val="28"/>
          <w:lang w:val="ru-RU"/>
        </w:rPr>
        <w:t xml:space="preserve">, special purpose acquisition company). Компании </w:t>
      </w:r>
      <w:r w:rsidRPr="00A164DB">
        <w:rPr>
          <w:rFonts w:eastAsia="Times New Roman"/>
          <w:sz w:val="28"/>
          <w:szCs w:val="28"/>
          <w:lang w:val="ru-RU"/>
        </w:rPr>
        <w:lastRenderedPageBreak/>
        <w:t xml:space="preserve">создавались для слияния с частными космическими компаниями, желающими выйти на биржу в обход сложной процедуры первичного публичного размещения (сокращая затраты на листинг, экономя время и деньги). Весьма неоднозначное влияние на фондовые показатели оказали сделки со </w:t>
      </w:r>
      <w:r w:rsidRPr="00A164DB">
        <w:rPr>
          <w:rFonts w:eastAsia="Times New Roman"/>
          <w:sz w:val="28"/>
          <w:szCs w:val="28"/>
          <w:lang w:val="en-US"/>
        </w:rPr>
        <w:t>SPAC</w:t>
      </w:r>
      <w:r w:rsidRPr="00A164DB">
        <w:rPr>
          <w:rFonts w:eastAsia="Times New Roman"/>
          <w:sz w:val="28"/>
          <w:szCs w:val="28"/>
          <w:lang w:val="ru-RU"/>
        </w:rPr>
        <w:t>-компаниями.</w:t>
      </w:r>
      <w:r>
        <w:rPr>
          <w:rFonts w:eastAsia="Times New Roman"/>
          <w:sz w:val="28"/>
          <w:szCs w:val="28"/>
          <w:lang w:val="ru-RU"/>
        </w:rPr>
        <w:t xml:space="preserve"> </w:t>
      </w:r>
      <w:r w:rsidRPr="00A164DB">
        <w:rPr>
          <w:rFonts w:eastAsia="Times New Roman"/>
          <w:sz w:val="28"/>
          <w:szCs w:val="28"/>
          <w:lang w:val="ru-RU"/>
        </w:rPr>
        <w:t>Для инновационных технологических компаний такой выход на биржевую площадку мог дать следующие преимущества:</w:t>
      </w:r>
    </w:p>
    <w:p w14:paraId="73D0E761" w14:textId="77777777" w:rsidR="00D1443C" w:rsidRPr="00A164DB" w:rsidRDefault="00D1443C" w:rsidP="00D1443C">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скорость завершения сделки со специальной технической компанией до 6 раз выше (срок - от квартала до полугодия), чем первичное публичное размещение, что может быть связано и с меньшими объемами комплексной проверки;</w:t>
      </w:r>
    </w:p>
    <w:p w14:paraId="3049687E" w14:textId="77777777" w:rsidR="00D1443C" w:rsidRPr="00A164DB" w:rsidRDefault="00D1443C" w:rsidP="00D1443C">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цена компании при слиянии со специализированной технической компанией согласовывается до завершения сделки, что может быть выгодным частной космической компании при высокой волатильности рынка;</w:t>
      </w:r>
    </w:p>
    <w:p w14:paraId="0B3A6964" w14:textId="77777777" w:rsidR="00D1443C" w:rsidRPr="00A164DB" w:rsidRDefault="00D1443C" w:rsidP="00D1443C">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доступ к управленческому опыту, знаниям в области финансов, организации производства, прогнозам рынка и проч., которым обладает менеджмент (спонсоры) специальной технической компании;</w:t>
      </w:r>
    </w:p>
    <w:p w14:paraId="5AE9DCF8" w14:textId="77777777" w:rsidR="00D1443C" w:rsidRPr="00A164DB" w:rsidRDefault="00D1443C" w:rsidP="00D1443C">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отсутствие части прямых затрат для частной космической компании (например, затраты на мероприятия по привлечению инвесторов), которые берет на себя на данном этапе специализированная техническая компания.</w:t>
      </w:r>
    </w:p>
    <w:p w14:paraId="58CF0669" w14:textId="58593819" w:rsidR="00D1443C" w:rsidRPr="00A164DB" w:rsidRDefault="00D1443C" w:rsidP="00D1443C">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При этом существенные недостатки</w:t>
      </w:r>
      <w:r>
        <w:rPr>
          <w:rFonts w:eastAsia="Times New Roman"/>
          <w:sz w:val="28"/>
          <w:szCs w:val="28"/>
          <w:lang w:val="ru-RU"/>
        </w:rPr>
        <w:t xml:space="preserve"> данного механизма финансирвоания</w:t>
      </w:r>
      <w:r w:rsidRPr="00A164DB">
        <w:rPr>
          <w:rFonts w:eastAsia="Times New Roman"/>
          <w:sz w:val="28"/>
          <w:szCs w:val="28"/>
          <w:lang w:val="ru-RU"/>
        </w:rPr>
        <w:t xml:space="preserve"> могли проявиться в потенциальном размытии долей основателей частной космической компании (менеджмент владея 20% долей в специальной технической компании через акции и варранты, также способен принимать управленческие решения, приводящие к получению дополнительных акций); в ошибках при оценке бизнеса (с учетом высоких рисков бизнес-модели), как правило, более низкой оценки при ограниченном круге инвесторов и проч. </w:t>
      </w:r>
    </w:p>
    <w:p w14:paraId="1935CEB3" w14:textId="77777777" w:rsidR="00D1443C" w:rsidRPr="00A164DB" w:rsidRDefault="00D1443C" w:rsidP="00D1443C">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xml:space="preserve">На сегодняшний момент у зарубежных инвесторов достаточно негативная оценка использования </w:t>
      </w:r>
      <w:r>
        <w:rPr>
          <w:rFonts w:eastAsia="Times New Roman"/>
          <w:sz w:val="28"/>
          <w:szCs w:val="28"/>
          <w:lang w:val="en-US"/>
        </w:rPr>
        <w:t>SPAC</w:t>
      </w:r>
      <w:r>
        <w:rPr>
          <w:rFonts w:eastAsia="Times New Roman"/>
          <w:sz w:val="28"/>
          <w:szCs w:val="28"/>
          <w:lang w:val="ru-RU"/>
        </w:rPr>
        <w:t xml:space="preserve"> как</w:t>
      </w:r>
      <w:r w:rsidRPr="00A164DB">
        <w:rPr>
          <w:rFonts w:eastAsia="Times New Roman"/>
          <w:sz w:val="28"/>
          <w:szCs w:val="28"/>
          <w:lang w:val="ru-RU"/>
        </w:rPr>
        <w:t xml:space="preserve"> инструмента в секторе космической экономики. При этом в России данный инструмент не был реализован, и профессиональное сообщество среди прочего рассматривает возможности альтернативы первичному публичному размещению через введение проектных компаний.</w:t>
      </w:r>
    </w:p>
    <w:p w14:paraId="7596013A" w14:textId="5D9D269E" w:rsidR="00A22C9A" w:rsidRPr="00A164DB" w:rsidRDefault="00A22C9A" w:rsidP="00A22C9A">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lastRenderedPageBreak/>
        <w:t>В работ</w:t>
      </w:r>
      <w:r>
        <w:rPr>
          <w:rFonts w:eastAsia="Times New Roman"/>
          <w:sz w:val="28"/>
          <w:szCs w:val="28"/>
          <w:lang w:val="ru-RU"/>
        </w:rPr>
        <w:t>ах</w:t>
      </w:r>
      <w:r w:rsidRPr="00A164DB">
        <w:rPr>
          <w:rFonts w:eastAsia="Times New Roman"/>
          <w:sz w:val="28"/>
          <w:szCs w:val="28"/>
          <w:lang w:val="ru-RU"/>
        </w:rPr>
        <w:t xml:space="preserve"> [</w:t>
      </w:r>
      <w:r>
        <w:rPr>
          <w:rFonts w:eastAsia="Times New Roman"/>
          <w:sz w:val="28"/>
          <w:szCs w:val="28"/>
          <w:lang w:val="ru-RU"/>
        </w:rPr>
        <w:t xml:space="preserve">6, </w:t>
      </w:r>
      <w:r w:rsidRPr="00943D76">
        <w:rPr>
          <w:rFonts w:eastAsia="Times New Roman"/>
          <w:sz w:val="28"/>
          <w:szCs w:val="28"/>
          <w:lang w:val="ru-RU"/>
        </w:rPr>
        <w:t>11</w:t>
      </w:r>
      <w:r w:rsidRPr="00A164DB">
        <w:rPr>
          <w:rFonts w:eastAsia="Times New Roman"/>
          <w:sz w:val="28"/>
          <w:szCs w:val="28"/>
          <w:lang w:val="ru-RU"/>
        </w:rPr>
        <w:t xml:space="preserve">] приводится ряд факторов, определяющих сложности процессов финансирования и инвестиций в </w:t>
      </w:r>
      <w:r>
        <w:rPr>
          <w:rFonts w:eastAsia="Times New Roman"/>
          <w:sz w:val="28"/>
          <w:szCs w:val="28"/>
          <w:lang w:val="ru-RU"/>
        </w:rPr>
        <w:t>России</w:t>
      </w:r>
      <w:r w:rsidRPr="00A164DB">
        <w:rPr>
          <w:rFonts w:eastAsia="Times New Roman"/>
          <w:sz w:val="28"/>
          <w:szCs w:val="28"/>
          <w:lang w:val="ru-RU"/>
        </w:rPr>
        <w:t>:</w:t>
      </w:r>
    </w:p>
    <w:p w14:paraId="16B9FE9E" w14:textId="77777777" w:rsidR="00A22C9A" w:rsidRPr="00A164DB" w:rsidRDefault="00A22C9A" w:rsidP="00A22C9A">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общий уровень развития финансового рынка, в т.ч. ограниченность финансовых инструментов;</w:t>
      </w:r>
    </w:p>
    <w:p w14:paraId="7869A047" w14:textId="77777777" w:rsidR="00A22C9A" w:rsidRPr="00A164DB" w:rsidRDefault="00A22C9A" w:rsidP="00A22C9A">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уровень процентной ставки и высокая стоимость финансовых ресурсов на фоне критического дефицита «длинных» денег;</w:t>
      </w:r>
    </w:p>
    <w:p w14:paraId="0736BC6E" w14:textId="77777777" w:rsidR="00A22C9A" w:rsidRPr="00A164DB" w:rsidRDefault="00A22C9A" w:rsidP="00A22C9A">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отсутствие эффективных инструментов для хеджирования рисков;</w:t>
      </w:r>
    </w:p>
    <w:p w14:paraId="59E78C85" w14:textId="77777777" w:rsidR="00A22C9A" w:rsidRPr="00A164DB" w:rsidRDefault="00A22C9A" w:rsidP="00A22C9A">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системные сложности развития венчурного финансирования.</w:t>
      </w:r>
    </w:p>
    <w:p w14:paraId="3639F544" w14:textId="79F20651" w:rsidR="00A22C9A" w:rsidRPr="00A164DB" w:rsidRDefault="00A22C9A" w:rsidP="00A22C9A">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xml:space="preserve">В этой связи важным является понимание потенциала расширения частных инвестиций в космические проекты. И этому может способствовать проведение сравнительного анализа данных вложений с другими классами активов. </w:t>
      </w:r>
    </w:p>
    <w:p w14:paraId="4BC7E80E" w14:textId="17C42550" w:rsidR="00282462" w:rsidRPr="001E4BFA" w:rsidRDefault="00282462" w:rsidP="00D46F31">
      <w:pPr>
        <w:spacing w:before="220" w:after="40" w:line="240" w:lineRule="auto"/>
        <w:ind w:firstLine="709"/>
        <w:jc w:val="both"/>
        <w:rPr>
          <w:rFonts w:eastAsia="Times New Roman"/>
          <w:sz w:val="28"/>
          <w:szCs w:val="28"/>
          <w:lang w:val="ru-RU"/>
        </w:rPr>
      </w:pPr>
    </w:p>
    <w:p w14:paraId="68DD1C00" w14:textId="6608CC52" w:rsidR="00D46F31" w:rsidRPr="00203CC7" w:rsidRDefault="00D46F31" w:rsidP="00D46F31">
      <w:pPr>
        <w:keepNext/>
        <w:spacing w:before="120" w:after="120" w:line="240" w:lineRule="auto"/>
        <w:outlineLvl w:val="0"/>
        <w:rPr>
          <w:rFonts w:eastAsia="Times New Roman"/>
          <w:b/>
          <w:i/>
          <w:color w:val="0070C0"/>
          <w:sz w:val="28"/>
          <w:szCs w:val="28"/>
        </w:rPr>
      </w:pPr>
      <w:r w:rsidRPr="00203CC7">
        <w:rPr>
          <w:rFonts w:eastAsia="Times New Roman"/>
          <w:b/>
          <w:i/>
          <w:color w:val="0070C0"/>
          <w:sz w:val="28"/>
          <w:szCs w:val="28"/>
        </w:rPr>
        <w:t>&lt;Основная часть&gt;</w:t>
      </w:r>
    </w:p>
    <w:p w14:paraId="768BBB7D" w14:textId="1E0ACDFE" w:rsidR="003D59B3" w:rsidRPr="001E4BFA" w:rsidRDefault="003E2EE3" w:rsidP="00D46F31">
      <w:pPr>
        <w:keepNext/>
        <w:pBdr>
          <w:top w:val="nil"/>
          <w:left w:val="nil"/>
          <w:bottom w:val="nil"/>
          <w:right w:val="nil"/>
          <w:between w:val="nil"/>
        </w:pBdr>
        <w:spacing w:before="120" w:after="120" w:line="240" w:lineRule="auto"/>
        <w:jc w:val="center"/>
        <w:outlineLvl w:val="1"/>
        <w:rPr>
          <w:rFonts w:eastAsia="Times New Roman"/>
          <w:b/>
          <w:sz w:val="28"/>
          <w:szCs w:val="28"/>
          <w:lang w:val="ru-RU"/>
        </w:rPr>
      </w:pPr>
      <w:r w:rsidRPr="001E4BFA">
        <w:rPr>
          <w:rFonts w:eastAsia="Times New Roman"/>
          <w:b/>
          <w:sz w:val="28"/>
          <w:szCs w:val="28"/>
          <w:lang w:val="ru-RU"/>
        </w:rPr>
        <w:t>Материалы и м</w:t>
      </w:r>
      <w:r w:rsidR="009B0CC6" w:rsidRPr="001E4BFA">
        <w:rPr>
          <w:rFonts w:eastAsia="Times New Roman"/>
          <w:b/>
          <w:sz w:val="28"/>
          <w:szCs w:val="28"/>
          <w:lang w:val="ru-RU"/>
        </w:rPr>
        <w:t>етоды</w:t>
      </w:r>
    </w:p>
    <w:p w14:paraId="426E3605" w14:textId="0CB66991" w:rsidR="00A22C9A" w:rsidRPr="00A164DB" w:rsidRDefault="00A22C9A" w:rsidP="00A22C9A">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xml:space="preserve">Для проведения </w:t>
      </w:r>
      <w:r>
        <w:rPr>
          <w:rFonts w:eastAsia="Times New Roman"/>
          <w:sz w:val="28"/>
          <w:szCs w:val="28"/>
          <w:lang w:val="ru-RU"/>
        </w:rPr>
        <w:t>сравнительного</w:t>
      </w:r>
      <w:r w:rsidRPr="00A164DB">
        <w:rPr>
          <w:rFonts w:eastAsia="Times New Roman"/>
          <w:sz w:val="28"/>
          <w:szCs w:val="28"/>
          <w:lang w:val="ru-RU"/>
        </w:rPr>
        <w:t xml:space="preserve"> анализа</w:t>
      </w:r>
      <w:r>
        <w:rPr>
          <w:rFonts w:eastAsia="Times New Roman"/>
          <w:sz w:val="28"/>
          <w:szCs w:val="28"/>
          <w:lang w:val="ru-RU"/>
        </w:rPr>
        <w:t xml:space="preserve"> инвестиционной привлекательности активов</w:t>
      </w:r>
      <w:r w:rsidRPr="00A164DB">
        <w:rPr>
          <w:rFonts w:eastAsia="Times New Roman"/>
          <w:sz w:val="28"/>
          <w:szCs w:val="28"/>
          <w:lang w:val="ru-RU"/>
        </w:rPr>
        <w:t xml:space="preserve"> необходимо определиться, каковы могут быть критерии сравнения вложений инвесторов в частные космические компании с другими классами инвестиционных активов, и как следствие, возможности для развития новых перспективных финансово-инвестиционных инструментов.</w:t>
      </w:r>
      <w:r w:rsidRPr="00943D76">
        <w:rPr>
          <w:rFonts w:eastAsia="Times New Roman"/>
          <w:sz w:val="28"/>
          <w:szCs w:val="28"/>
          <w:lang w:val="ru-RU"/>
        </w:rPr>
        <w:t xml:space="preserve"> </w:t>
      </w:r>
      <w:r w:rsidRPr="00A22C9A">
        <w:rPr>
          <w:rFonts w:eastAsia="Times New Roman"/>
          <w:sz w:val="28"/>
          <w:szCs w:val="28"/>
          <w:lang w:val="ru-RU"/>
        </w:rPr>
        <w:t>[9]</w:t>
      </w:r>
    </w:p>
    <w:p w14:paraId="191B3569" w14:textId="668CBF86" w:rsidR="00A22C9A" w:rsidRPr="00A164DB" w:rsidRDefault="00A22C9A" w:rsidP="00A22C9A">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xml:space="preserve">Опыт развития широкого сектора новой космической экономики, в частности, частных космических компаний зарубежом (США, Европа и др.) позволяет говорить о нем как о секторе </w:t>
      </w:r>
      <w:r>
        <w:rPr>
          <w:rFonts w:eastAsia="Times New Roman"/>
          <w:sz w:val="28"/>
          <w:szCs w:val="28"/>
          <w:lang w:val="ru-RU"/>
        </w:rPr>
        <w:t xml:space="preserve">именно </w:t>
      </w:r>
      <w:r w:rsidRPr="00A164DB">
        <w:rPr>
          <w:rFonts w:eastAsia="Times New Roman"/>
          <w:sz w:val="28"/>
          <w:szCs w:val="28"/>
          <w:lang w:val="ru-RU"/>
        </w:rPr>
        <w:t xml:space="preserve">альтернативных инвестиций, на котором представлены десятки венчурных фондов и инвестиционных компаний. Потребности в финансовых ресурсах для компаний данного сектора закрываются через такие активы как прямые инвестиции, венчурные инвестиции, выпуск долговых обязательств, а также через публичное размещение ценных бумаг. Количественные исследования данного сектора экономики, как уже было сказано, затруднены. Это объясняется как характером отрасли, происходящими в ней процессами быстрой трансформации, так и незначительной выборкой публичных компаний. </w:t>
      </w:r>
    </w:p>
    <w:p w14:paraId="43DCBD95" w14:textId="77777777" w:rsidR="00A22C9A" w:rsidRPr="00A164DB" w:rsidRDefault="00A22C9A" w:rsidP="00A22C9A">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lastRenderedPageBreak/>
        <w:t xml:space="preserve">С позиции инвесторов данный инвестиционный сектор для роста своей привлекательности должен обладать некоторым набором возможностей, в частности, низкая корреляция с другими классами инвестиционных активов и самим инвестиционным сектором может позволить рассматривать инвестиции в космический сектор как инструменты диверсификации и хеджирования (например, для институциональных инвесторов). </w:t>
      </w:r>
    </w:p>
    <w:p w14:paraId="0661DF10" w14:textId="77777777" w:rsidR="00A22C9A" w:rsidRPr="00A164DB" w:rsidRDefault="00A22C9A" w:rsidP="00A22C9A">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Подходы различных групп и типов инвесторов к инвестированию сильно разнятся (характерным примером является проявление рыночной неэффективности с 2022 г. на российском фондовом рынке, когда 80% торгового оборота стало формироваться инвестиционными интересами физических лиц), различаются и их подходы к управлению активами. В частности, корреляция между активами традиционно рассматривается институциональными инвесторами как ключевой индикатор, а целью оценки корреляции является обеспечение хеджирования портфеля от множества факторов риска с учетом диверсификации как условия максимизации прибыли. Корреляция для определения сравнительной динамики доходности различных классов активов публикуется на регулярной основе одним их подразделений глобального инвестиционного фонда.</w:t>
      </w:r>
    </w:p>
    <w:p w14:paraId="5760D033" w14:textId="5AC5E95A" w:rsidR="00A164DB" w:rsidRPr="00A164DB" w:rsidRDefault="00A164DB" w:rsidP="00A22C9A">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xml:space="preserve">При всей многоаспектности измерения таких систем, как экономика космоса и космические рынки, исследователи и практики финансово-инвестиционного сектора сходятся во мнении, что на современном этапе развития российской экономики важно говорить о количественной оценке эффективности данного зарождающегося рынка. Сложности стоимостных оценок связаны, в первую очередь, с наблюдаемым малым числом сделок, низкой привлекательностью предлагаемых проектов для инвесторов (речь идет о незначительном количестве активных инвестиционных фондов, отдельных инвесторах-энтузиастах, высоких рисках, длительных сроках вложения и выходы на окупаемость). </w:t>
      </w:r>
    </w:p>
    <w:p w14:paraId="38201689" w14:textId="1D2EA1C3" w:rsidR="00A164DB" w:rsidRPr="00A164DB" w:rsidRDefault="00A164DB" w:rsidP="00A164DB">
      <w:pPr>
        <w:spacing w:before="220" w:after="40" w:line="240" w:lineRule="auto"/>
        <w:ind w:firstLine="709"/>
        <w:jc w:val="both"/>
        <w:rPr>
          <w:rFonts w:eastAsia="Times New Roman"/>
          <w:sz w:val="28"/>
          <w:szCs w:val="28"/>
          <w:lang w:val="en-US"/>
        </w:rPr>
      </w:pPr>
      <w:r w:rsidRPr="00A164DB">
        <w:rPr>
          <w:rFonts w:eastAsia="Times New Roman"/>
          <w:sz w:val="28"/>
          <w:szCs w:val="28"/>
          <w:lang w:val="ru-RU"/>
        </w:rPr>
        <w:t xml:space="preserve">Методически сложность сравнительного анализа эффективности различных классов активов связана с различными горизонтами вложений и сроками возвратов инвестиций, различиями в структурах вознаграждений и структурах привлечения капиталов. Также необходимо отметить и незначительные по объему наборы отраслевых данных, а также короткие сроки функционирования на публичных рынках ограниченного числа компаний сектора частной космонавтики. </w:t>
      </w:r>
      <w:r w:rsidR="00943D76">
        <w:rPr>
          <w:rFonts w:eastAsia="Times New Roman"/>
          <w:sz w:val="28"/>
          <w:szCs w:val="28"/>
          <w:lang w:val="en-US"/>
        </w:rPr>
        <w:t>[7]</w:t>
      </w:r>
    </w:p>
    <w:p w14:paraId="1115A01A" w14:textId="76EF6054" w:rsidR="00D1443C" w:rsidRDefault="001237E7" w:rsidP="00D1443C">
      <w:pPr>
        <w:spacing w:before="220" w:after="40" w:line="240" w:lineRule="auto"/>
        <w:ind w:firstLine="709"/>
        <w:jc w:val="both"/>
        <w:rPr>
          <w:rFonts w:eastAsia="Times New Roman"/>
          <w:sz w:val="28"/>
          <w:szCs w:val="28"/>
          <w:lang w:val="ru-RU"/>
        </w:rPr>
      </w:pPr>
      <w:r>
        <w:rPr>
          <w:rFonts w:eastAsia="Times New Roman"/>
          <w:sz w:val="28"/>
          <w:szCs w:val="28"/>
          <w:lang w:val="ru-RU"/>
        </w:rPr>
        <w:lastRenderedPageBreak/>
        <w:t>В</w:t>
      </w:r>
      <w:r w:rsidR="00A164DB" w:rsidRPr="00A164DB">
        <w:rPr>
          <w:rFonts w:eastAsia="Times New Roman"/>
          <w:sz w:val="28"/>
          <w:szCs w:val="28"/>
          <w:lang w:val="ru-RU"/>
        </w:rPr>
        <w:t xml:space="preserve"> качестве показателей, характеризующих темпы роста</w:t>
      </w:r>
      <w:r>
        <w:rPr>
          <w:rFonts w:eastAsia="Times New Roman"/>
          <w:sz w:val="28"/>
          <w:szCs w:val="28"/>
          <w:lang w:val="ru-RU"/>
        </w:rPr>
        <w:t>,</w:t>
      </w:r>
      <w:r w:rsidR="00A164DB" w:rsidRPr="00A164DB">
        <w:rPr>
          <w:rFonts w:eastAsia="Times New Roman"/>
          <w:sz w:val="28"/>
          <w:szCs w:val="28"/>
          <w:lang w:val="ru-RU"/>
        </w:rPr>
        <w:t xml:space="preserve"> </w:t>
      </w:r>
      <w:r>
        <w:rPr>
          <w:rFonts w:eastAsia="Times New Roman"/>
          <w:sz w:val="28"/>
          <w:szCs w:val="28"/>
          <w:lang w:val="ru-RU"/>
        </w:rPr>
        <w:t>могут быть</w:t>
      </w:r>
      <w:r w:rsidR="00A164DB" w:rsidRPr="00A164DB">
        <w:rPr>
          <w:rFonts w:eastAsia="Times New Roman"/>
          <w:sz w:val="28"/>
          <w:szCs w:val="28"/>
          <w:lang w:val="ru-RU"/>
        </w:rPr>
        <w:t xml:space="preserve"> использованы данные о количестве объектов, запущенных в космос. Существенное значение имеет тот факт, что с момента запуска, например, спутника может пройти от нескольких месяцев до нескольких лет для получения доходов инвестором от этого актива. В этой связи данные по количеству запущенных объектов должны лежать в основе прогнозных моделей общего размера рынка и выручки. </w:t>
      </w:r>
    </w:p>
    <w:p w14:paraId="13B850C4" w14:textId="78BE82DD" w:rsidR="00A164DB" w:rsidRPr="00A164DB" w:rsidRDefault="00A164DB" w:rsidP="00A164DB">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Оценки глобальной космической экономики должны учитывать особенности национальных подходов, что усложняет сопоставление данных, лежащих в основе формируемых баз данных.</w:t>
      </w:r>
      <w:r w:rsidR="00D1443C" w:rsidRPr="00D1443C">
        <w:rPr>
          <w:rFonts w:eastAsia="Times New Roman"/>
          <w:sz w:val="28"/>
          <w:szCs w:val="28"/>
          <w:lang w:val="ru-RU"/>
        </w:rPr>
        <w:t xml:space="preserve"> </w:t>
      </w:r>
      <w:r w:rsidR="00D1443C">
        <w:rPr>
          <w:rFonts w:eastAsia="Times New Roman"/>
          <w:sz w:val="28"/>
          <w:szCs w:val="28"/>
          <w:lang w:val="ru-RU"/>
        </w:rPr>
        <w:t>В частности, т</w:t>
      </w:r>
      <w:r w:rsidR="00D1443C" w:rsidRPr="00A164DB">
        <w:rPr>
          <w:rFonts w:eastAsia="Times New Roman"/>
          <w:sz w:val="28"/>
          <w:szCs w:val="28"/>
          <w:lang w:val="ru-RU"/>
        </w:rPr>
        <w:t>ретье место как позиция России на мировом рынке запусков определяется через количество запусков (например, в 2023 г. Россия провела 19 запусков против 67 у Китая, уступающего лидерство США), выводимой полезной нагрузке (213 т, незначительно отставая от Китая с 233 т), а также уровень государственных расходов (3,4 млрд долл. против 14,2 млрд долл.).</w:t>
      </w:r>
    </w:p>
    <w:p w14:paraId="20FF198A" w14:textId="7502DD1D" w:rsidR="00A164DB" w:rsidRPr="00A164DB" w:rsidRDefault="00A164DB" w:rsidP="00A164DB">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Изолированный характер космической отрасли</w:t>
      </w:r>
      <w:r w:rsidR="00F53329">
        <w:rPr>
          <w:rFonts w:eastAsia="Times New Roman"/>
          <w:sz w:val="28"/>
          <w:szCs w:val="28"/>
          <w:lang w:val="ru-RU"/>
        </w:rPr>
        <w:t xml:space="preserve"> как инвестиционного пространства</w:t>
      </w:r>
      <w:r w:rsidRPr="00A164DB">
        <w:rPr>
          <w:rFonts w:eastAsia="Times New Roman"/>
          <w:sz w:val="28"/>
          <w:szCs w:val="28"/>
          <w:lang w:val="ru-RU"/>
        </w:rPr>
        <w:t>, ее возможность демонстрировать рост в условиях высокой волатильности прочих рынков, делает инвестиции в космические компании интересными для включения в специализированные портфели как защита от глобальных рыночных факторов.</w:t>
      </w:r>
    </w:p>
    <w:p w14:paraId="70A758D6" w14:textId="77777777" w:rsidR="003D59B3" w:rsidRPr="001E4BFA" w:rsidRDefault="009B0CC6" w:rsidP="0086532E">
      <w:pPr>
        <w:spacing w:before="120" w:after="120" w:line="240" w:lineRule="auto"/>
        <w:jc w:val="center"/>
        <w:outlineLvl w:val="1"/>
        <w:rPr>
          <w:rFonts w:eastAsia="Times New Roman"/>
          <w:sz w:val="28"/>
          <w:szCs w:val="28"/>
        </w:rPr>
      </w:pPr>
      <w:bookmarkStart w:id="0" w:name="_sudwg23ut4vq" w:colFirst="0" w:colLast="0"/>
      <w:bookmarkEnd w:id="0"/>
      <w:r w:rsidRPr="001E4BFA">
        <w:rPr>
          <w:rFonts w:eastAsia="Times New Roman"/>
          <w:b/>
          <w:sz w:val="28"/>
          <w:szCs w:val="28"/>
        </w:rPr>
        <w:t>Результаты</w:t>
      </w:r>
    </w:p>
    <w:p w14:paraId="3723B7C8" w14:textId="77777777" w:rsidR="00A22C9A" w:rsidRPr="00A164DB" w:rsidRDefault="00A22C9A" w:rsidP="00A22C9A">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В то время как инвестиционные возможности публичного рынка для космической отрасли по-прежнему минимальны, существует несколько вариантов инвестирования на частном рынке, таких как стратегии управления портфелем ценных бумаг, ориентированные на пространство нескольких развивающихся компаний частного акционерного капитала и венчурного капитала. Аккредитованные инвесторы, которые имеют возможность осуществлять такие инвестиции на частном рынке, должны провести свое собственное исследование, чтобы улучшить понимание отрасли и ее инвестиционной привлекательности лицами, распределяющими капитал.</w:t>
      </w:r>
    </w:p>
    <w:p w14:paraId="704E4121" w14:textId="77777777" w:rsidR="00A22C9A" w:rsidRPr="00A164DB" w:rsidRDefault="00A22C9A" w:rsidP="00A22C9A">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xml:space="preserve">Активный </w:t>
      </w:r>
      <w:r>
        <w:rPr>
          <w:rFonts w:eastAsia="Times New Roman"/>
          <w:sz w:val="28"/>
          <w:szCs w:val="28"/>
          <w:lang w:val="ru-RU"/>
        </w:rPr>
        <w:t xml:space="preserve">потенциальный </w:t>
      </w:r>
      <w:r w:rsidRPr="00A164DB">
        <w:rPr>
          <w:rFonts w:eastAsia="Times New Roman"/>
          <w:sz w:val="28"/>
          <w:szCs w:val="28"/>
          <w:lang w:val="ru-RU"/>
        </w:rPr>
        <w:t xml:space="preserve">рост сектора также представляет интерес для инвесторов на фоне отсутствия </w:t>
      </w:r>
      <w:r>
        <w:rPr>
          <w:rFonts w:eastAsia="Times New Roman"/>
          <w:sz w:val="28"/>
          <w:szCs w:val="28"/>
          <w:lang w:val="ru-RU"/>
        </w:rPr>
        <w:t xml:space="preserve">явной </w:t>
      </w:r>
      <w:r w:rsidRPr="00A164DB">
        <w:rPr>
          <w:rFonts w:eastAsia="Times New Roman"/>
          <w:sz w:val="28"/>
          <w:szCs w:val="28"/>
          <w:lang w:val="ru-RU"/>
        </w:rPr>
        <w:t>корреляции с основными рыночными индексами, что является существенной характеристикой при реализации портфельных инвестиций.</w:t>
      </w:r>
    </w:p>
    <w:p w14:paraId="18B61A50" w14:textId="01964481" w:rsidR="001237E7" w:rsidRPr="00A164DB" w:rsidRDefault="001237E7" w:rsidP="001237E7">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lastRenderedPageBreak/>
        <w:t>Ключевыми элементами космической экономики принято считать наземную пусковую инфраструктуру, средства выведения полезной нагрузки, полезную нагрузку (пилотируемые миссии, связь, ДЗЗ), наземные средства связи и управления, центры обработки данных, функциональное программное обеспечение и то, что принято называть конечными сервисами и услугами. [</w:t>
      </w:r>
      <w:r w:rsidR="00943D76" w:rsidRPr="00943D76">
        <w:rPr>
          <w:rFonts w:eastAsia="Times New Roman"/>
          <w:sz w:val="28"/>
          <w:szCs w:val="28"/>
          <w:lang w:val="ru-RU"/>
        </w:rPr>
        <w:t>6</w:t>
      </w:r>
      <w:r w:rsidRPr="00A164DB">
        <w:rPr>
          <w:rFonts w:eastAsia="Times New Roman"/>
          <w:sz w:val="28"/>
          <w:szCs w:val="28"/>
          <w:lang w:val="ru-RU"/>
        </w:rPr>
        <w:t>] Составленная в конце 2023 году Национальной технологической инициативой карта специализаций компаний частного космоса в РФ (в том числе в форме стартапов) стала своеобразной переписью игроков рынка, включила в себя компании, сгруппированные по пяти сегментам (суммарно был выделен 21 подсегмент), характеризующиеся разной степенью представленности игроков, стадией развития технологии и/или продукта, а также объемами привлеченного финансирования.</w:t>
      </w:r>
    </w:p>
    <w:p w14:paraId="1D1C20BE" w14:textId="77777777" w:rsidR="001237E7" w:rsidRPr="001E4BFA" w:rsidRDefault="001237E7" w:rsidP="001237E7">
      <w:pPr>
        <w:keepNext/>
        <w:spacing w:before="220" w:after="40" w:line="240" w:lineRule="auto"/>
        <w:jc w:val="both"/>
        <w:rPr>
          <w:rFonts w:eastAsia="Times New Roman"/>
          <w:sz w:val="28"/>
          <w:szCs w:val="28"/>
        </w:rPr>
      </w:pPr>
      <w:r w:rsidRPr="001E4BFA">
        <w:rPr>
          <w:rFonts w:eastAsia="Times New Roman"/>
          <w:sz w:val="28"/>
          <w:szCs w:val="28"/>
        </w:rPr>
        <w:t>Таблица 1 –</w:t>
      </w:r>
      <w:r w:rsidRPr="001E4BFA">
        <w:rPr>
          <w:rFonts w:eastAsia="Times New Roman"/>
          <w:sz w:val="28"/>
          <w:szCs w:val="28"/>
          <w:lang w:val="ru-RU"/>
        </w:rPr>
        <w:t xml:space="preserve"> </w:t>
      </w:r>
      <w:r w:rsidRPr="00A164DB">
        <w:rPr>
          <w:rFonts w:eastAsia="Times New Roman"/>
          <w:sz w:val="28"/>
          <w:szCs w:val="28"/>
          <w:lang w:val="ru-RU"/>
        </w:rPr>
        <w:t>Количественный состав частных космических компаний России в 2024 г.</w:t>
      </w:r>
      <w:r>
        <w:rPr>
          <w:rFonts w:eastAsia="Times New Roman"/>
          <w:sz w:val="28"/>
          <w:szCs w:val="28"/>
          <w:lang w:val="ru-RU"/>
        </w:rPr>
        <w:t xml:space="preserve"> </w:t>
      </w:r>
    </w:p>
    <w:tbl>
      <w:tblPr>
        <w:tblW w:w="93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941"/>
        <w:gridCol w:w="2404"/>
      </w:tblGrid>
      <w:tr w:rsidR="001237E7" w:rsidRPr="00A164DB" w14:paraId="034C336F" w14:textId="77777777" w:rsidTr="006C7B9C">
        <w:trPr>
          <w:trHeight w:val="1266"/>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20DCE8" w14:textId="77777777" w:rsidR="001237E7" w:rsidRPr="00A164DB" w:rsidRDefault="001237E7" w:rsidP="006C7B9C">
            <w:pPr>
              <w:spacing w:line="240" w:lineRule="auto"/>
              <w:ind w:firstLine="709"/>
              <w:rPr>
                <w:rFonts w:eastAsia="Times New Roman"/>
                <w:sz w:val="28"/>
                <w:szCs w:val="28"/>
                <w:lang w:val="ru-RU"/>
              </w:rPr>
            </w:pPr>
            <w:r w:rsidRPr="00A164DB">
              <w:rPr>
                <w:rFonts w:eastAsia="Times New Roman"/>
                <w:sz w:val="28"/>
                <w:szCs w:val="28"/>
                <w:lang w:val="ru-RU"/>
              </w:rPr>
              <w:t>Специализация компаний по сегментам рынка</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6C79FDA" w14:textId="77777777" w:rsidR="001237E7" w:rsidRPr="00A164DB" w:rsidRDefault="001237E7" w:rsidP="006C7B9C">
            <w:pPr>
              <w:spacing w:line="240" w:lineRule="auto"/>
              <w:rPr>
                <w:rFonts w:eastAsia="Times New Roman"/>
                <w:sz w:val="28"/>
                <w:szCs w:val="28"/>
                <w:lang w:val="ru-RU"/>
              </w:rPr>
            </w:pPr>
            <w:r w:rsidRPr="00A164DB">
              <w:rPr>
                <w:rFonts w:eastAsia="Times New Roman"/>
                <w:sz w:val="28"/>
                <w:szCs w:val="28"/>
                <w:lang w:val="ru-RU"/>
              </w:rPr>
              <w:t>Число действующих компаний</w:t>
            </w:r>
          </w:p>
        </w:tc>
      </w:tr>
      <w:tr w:rsidR="001237E7" w:rsidRPr="00A164DB" w14:paraId="4A0BA1D3" w14:textId="77777777" w:rsidTr="006C7B9C">
        <w:trPr>
          <w:trHeight w:val="1740"/>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D5DD682"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Средства выведения,</w:t>
            </w:r>
          </w:p>
          <w:p w14:paraId="33FB0103"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 xml:space="preserve">- ракеты-носители </w:t>
            </w:r>
          </w:p>
          <w:p w14:paraId="3F629B05"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 ракетные двигатели</w:t>
            </w:r>
          </w:p>
          <w:p w14:paraId="44E1DADE"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 системы выведения</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7965E80"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21</w:t>
            </w:r>
          </w:p>
          <w:p w14:paraId="4EB424E6"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10</w:t>
            </w:r>
          </w:p>
          <w:p w14:paraId="6FF86192"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7</w:t>
            </w:r>
          </w:p>
          <w:p w14:paraId="26C40BF6"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4</w:t>
            </w:r>
          </w:p>
        </w:tc>
      </w:tr>
      <w:tr w:rsidR="001237E7" w:rsidRPr="00A164DB" w14:paraId="133858CF" w14:textId="77777777" w:rsidTr="006C7B9C">
        <w:trPr>
          <w:trHeight w:val="2320"/>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B4C041A"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Космические и суборбитальные аппараты</w:t>
            </w:r>
          </w:p>
          <w:p w14:paraId="6E463B39"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-малые и сверхмалые космические аппараты</w:t>
            </w:r>
          </w:p>
          <w:p w14:paraId="175AFB7C"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 двигатели для малых космических аппаратов</w:t>
            </w:r>
          </w:p>
          <w:p w14:paraId="186E8E9A"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 стратостаты</w:t>
            </w:r>
          </w:p>
          <w:p w14:paraId="64617984"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 полезные нагрузки</w:t>
            </w:r>
          </w:p>
          <w:p w14:paraId="0A7FB96A"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 квантовые технологии для космоса</w:t>
            </w:r>
          </w:p>
          <w:p w14:paraId="60F8BFAB"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 служебные системы и платформы</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DDEABF"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51</w:t>
            </w:r>
          </w:p>
          <w:p w14:paraId="7983833D"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18</w:t>
            </w:r>
          </w:p>
          <w:p w14:paraId="454EC3E7"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4</w:t>
            </w:r>
          </w:p>
          <w:p w14:paraId="79BE61C9"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2</w:t>
            </w:r>
          </w:p>
          <w:p w14:paraId="17BA594D"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16</w:t>
            </w:r>
          </w:p>
          <w:p w14:paraId="6300AD6C"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5</w:t>
            </w:r>
          </w:p>
          <w:p w14:paraId="2C09E8E5"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6</w:t>
            </w:r>
          </w:p>
        </w:tc>
      </w:tr>
      <w:tr w:rsidR="001237E7" w:rsidRPr="00A164DB" w14:paraId="33264492" w14:textId="77777777" w:rsidTr="006C7B9C">
        <w:trPr>
          <w:trHeight w:val="1674"/>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B3B8D7"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Разработка космических проектов</w:t>
            </w:r>
          </w:p>
          <w:p w14:paraId="50C7006C"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 ПО для проектирования</w:t>
            </w:r>
          </w:p>
          <w:p w14:paraId="7D6813DC"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 материалы для космоса</w:t>
            </w:r>
          </w:p>
          <w:p w14:paraId="1CCEDCF4"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 ПО для проектирования полезных нагрузок</w:t>
            </w:r>
          </w:p>
          <w:p w14:paraId="46FF4432"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 испытательные стенды</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E81DE9"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10</w:t>
            </w:r>
          </w:p>
          <w:p w14:paraId="68D05520"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5</w:t>
            </w:r>
          </w:p>
          <w:p w14:paraId="1B5E9288"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3</w:t>
            </w:r>
          </w:p>
          <w:p w14:paraId="16282015"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1</w:t>
            </w:r>
          </w:p>
          <w:p w14:paraId="1C6393B5"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1</w:t>
            </w:r>
          </w:p>
        </w:tc>
      </w:tr>
      <w:tr w:rsidR="001237E7" w:rsidRPr="00A164DB" w14:paraId="652644BC" w14:textId="77777777" w:rsidTr="006C7B9C">
        <w:trPr>
          <w:trHeight w:val="1956"/>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E216942"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lastRenderedPageBreak/>
              <w:t>Дистанционное зондирование Земли</w:t>
            </w:r>
          </w:p>
          <w:p w14:paraId="42CFE91C"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 космические и стратосферные системы ДЗЗ</w:t>
            </w:r>
          </w:p>
          <w:p w14:paraId="3D2EB2BC"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 прием данных со спутников ДЗЗ</w:t>
            </w:r>
          </w:p>
          <w:p w14:paraId="438BAECA"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 обработка данных ДЗЗ</w:t>
            </w:r>
          </w:p>
          <w:p w14:paraId="60BD42B6"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 геоинформационные сервисы на основе данных ДЗЗ</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7B53D52"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42</w:t>
            </w:r>
          </w:p>
          <w:p w14:paraId="5EFE60A2"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9</w:t>
            </w:r>
          </w:p>
          <w:p w14:paraId="5FCE0BA1"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3</w:t>
            </w:r>
          </w:p>
          <w:p w14:paraId="7EA10516"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21</w:t>
            </w:r>
          </w:p>
          <w:p w14:paraId="024D28E3"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9</w:t>
            </w:r>
          </w:p>
        </w:tc>
      </w:tr>
      <w:tr w:rsidR="001237E7" w:rsidRPr="00A164DB" w14:paraId="0F63DB1B" w14:textId="77777777" w:rsidTr="006C7B9C">
        <w:trPr>
          <w:trHeight w:val="1802"/>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827C9F4"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Связь и навигация</w:t>
            </w:r>
          </w:p>
          <w:p w14:paraId="797B3E19"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 системы спутниковой связи</w:t>
            </w:r>
          </w:p>
          <w:p w14:paraId="080A4896"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 наземные станции спутниковой связи</w:t>
            </w:r>
          </w:p>
          <w:p w14:paraId="0D8F4D94"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 системы лазерной оптической связи</w:t>
            </w:r>
          </w:p>
          <w:p w14:paraId="4D9FEB40"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 спутниковая навигация</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10D0D8"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35</w:t>
            </w:r>
          </w:p>
          <w:p w14:paraId="1F2892BD"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18</w:t>
            </w:r>
          </w:p>
          <w:p w14:paraId="72920CD6"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5</w:t>
            </w:r>
          </w:p>
          <w:p w14:paraId="68036613"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1</w:t>
            </w:r>
          </w:p>
          <w:p w14:paraId="656FDC50" w14:textId="77777777" w:rsidR="001237E7" w:rsidRPr="00A164DB" w:rsidRDefault="001237E7" w:rsidP="006C7B9C">
            <w:pPr>
              <w:spacing w:line="240" w:lineRule="auto"/>
              <w:ind w:firstLine="709"/>
              <w:jc w:val="both"/>
              <w:rPr>
                <w:rFonts w:eastAsia="Times New Roman"/>
                <w:sz w:val="28"/>
                <w:szCs w:val="28"/>
                <w:lang w:val="ru-RU"/>
              </w:rPr>
            </w:pPr>
            <w:r w:rsidRPr="00A164DB">
              <w:rPr>
                <w:rFonts w:eastAsia="Times New Roman"/>
                <w:sz w:val="28"/>
                <w:szCs w:val="28"/>
                <w:lang w:val="ru-RU"/>
              </w:rPr>
              <w:t>11</w:t>
            </w:r>
          </w:p>
        </w:tc>
      </w:tr>
    </w:tbl>
    <w:p w14:paraId="04D95FD2" w14:textId="77777777" w:rsidR="001237E7" w:rsidRPr="001E4BFA" w:rsidRDefault="001237E7" w:rsidP="001237E7">
      <w:pPr>
        <w:spacing w:before="220" w:after="40" w:line="240" w:lineRule="auto"/>
        <w:jc w:val="both"/>
        <w:rPr>
          <w:rFonts w:eastAsia="Times New Roman"/>
          <w:sz w:val="28"/>
          <w:szCs w:val="28"/>
          <w:lang w:val="ru-RU"/>
        </w:rPr>
      </w:pPr>
      <w:r w:rsidRPr="001E4BFA">
        <w:rPr>
          <w:rFonts w:eastAsia="Times New Roman"/>
          <w:sz w:val="28"/>
          <w:szCs w:val="28"/>
          <w:lang w:val="ru-RU"/>
        </w:rPr>
        <w:t xml:space="preserve">Источник: </w:t>
      </w:r>
      <w:r>
        <w:rPr>
          <w:rFonts w:eastAsia="Times New Roman"/>
          <w:sz w:val="28"/>
          <w:szCs w:val="28"/>
          <w:lang w:val="ru-RU"/>
        </w:rPr>
        <w:t xml:space="preserve">составлено автором </w:t>
      </w:r>
      <w:r w:rsidRPr="00A164DB">
        <w:rPr>
          <w:rFonts w:eastAsia="Times New Roman"/>
          <w:sz w:val="28"/>
          <w:szCs w:val="28"/>
          <w:lang w:val="ru-RU"/>
        </w:rPr>
        <w:t>на основе данных НТИ</w:t>
      </w:r>
      <w:r>
        <w:rPr>
          <w:rFonts w:eastAsia="Times New Roman"/>
          <w:sz w:val="28"/>
          <w:szCs w:val="28"/>
          <w:lang w:val="ru-RU"/>
        </w:rPr>
        <w:t>.</w:t>
      </w:r>
    </w:p>
    <w:p w14:paraId="5282F57C" w14:textId="77777777" w:rsidR="00A22C9A" w:rsidRPr="00A164DB" w:rsidRDefault="00A22C9A" w:rsidP="00A22C9A">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Инвесторы склоняются к мысли о необходимости избегания копирования частными космическими компаниями организационно-управленческих подходов, построенных на интенсивном использовании вертикальной интеграции. Преимущества контроля над затратами и производительностью могут быть перевешены сложностью непосредственной реализации данной модели, в том числе по причинам консолидации отраслевых проблем и интенсивным ростом потребностей в капитале. Важным для компаний на современном этапе становится понимание своей технологии, особенностей своего рынка, что позволит инвесторам повысить осведомленность о потенциальном активе.</w:t>
      </w:r>
    </w:p>
    <w:p w14:paraId="223DB9EE" w14:textId="77777777" w:rsidR="001237E7" w:rsidRPr="00A164DB" w:rsidRDefault="001237E7" w:rsidP="001237E7">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xml:space="preserve">Согласно данным Агентства инноваций Москвы по итогам первого полугодия 2024 г. лидером по числу сделок стал частный фонд «Восход», в сфере интересов которого заявлен сектор </w:t>
      </w:r>
      <w:r w:rsidRPr="00A164DB">
        <w:rPr>
          <w:rFonts w:eastAsia="Times New Roman"/>
          <w:sz w:val="28"/>
          <w:szCs w:val="28"/>
          <w:lang w:val="en-US"/>
        </w:rPr>
        <w:t>Aero</w:t>
      </w:r>
      <w:r w:rsidRPr="00A164DB">
        <w:rPr>
          <w:rFonts w:eastAsia="Times New Roman"/>
          <w:sz w:val="28"/>
          <w:szCs w:val="28"/>
          <w:lang w:val="ru-RU"/>
        </w:rPr>
        <w:t>&amp;</w:t>
      </w:r>
      <w:r w:rsidRPr="00A164DB">
        <w:rPr>
          <w:rFonts w:eastAsia="Times New Roman"/>
          <w:sz w:val="28"/>
          <w:szCs w:val="28"/>
          <w:lang w:val="en-US"/>
        </w:rPr>
        <w:t>SpaceTech</w:t>
      </w:r>
      <w:r w:rsidRPr="00A164DB">
        <w:rPr>
          <w:rFonts w:eastAsia="Times New Roman"/>
          <w:sz w:val="28"/>
          <w:szCs w:val="28"/>
          <w:lang w:val="ru-RU"/>
        </w:rPr>
        <w:t>.</w:t>
      </w:r>
    </w:p>
    <w:p w14:paraId="3512B39B" w14:textId="77777777" w:rsidR="001237E7" w:rsidRPr="00A164DB" w:rsidRDefault="001237E7" w:rsidP="001237E7">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Управляющая компания «Восход», созданная в 2021 году, является одним из ключевых участников российского сегмента венчурных инвестиций в частные космические компании, в своей работе руководствуется такими основными принципами как поиск прорывных технологий, новых рыночных ниш и возможностей. В качестве участия в раундах финансирования компания рассматривает себя преимущественно как лид-инвестор (целевые стадии Венчурного строительства (</w:t>
      </w:r>
      <w:r w:rsidRPr="00A164DB">
        <w:rPr>
          <w:rFonts w:eastAsia="Times New Roman"/>
          <w:sz w:val="28"/>
          <w:szCs w:val="28"/>
          <w:lang w:val="en-US"/>
        </w:rPr>
        <w:t>Venture</w:t>
      </w:r>
      <w:r w:rsidRPr="00A164DB">
        <w:rPr>
          <w:rFonts w:eastAsia="Times New Roman"/>
          <w:sz w:val="28"/>
          <w:szCs w:val="28"/>
          <w:lang w:val="ru-RU"/>
        </w:rPr>
        <w:t xml:space="preserve"> </w:t>
      </w:r>
      <w:r w:rsidRPr="00A164DB">
        <w:rPr>
          <w:rFonts w:eastAsia="Times New Roman"/>
          <w:sz w:val="28"/>
          <w:szCs w:val="28"/>
          <w:lang w:val="en-US"/>
        </w:rPr>
        <w:t>builder</w:t>
      </w:r>
      <w:r w:rsidRPr="00A164DB">
        <w:rPr>
          <w:rFonts w:eastAsia="Times New Roman"/>
          <w:sz w:val="28"/>
          <w:szCs w:val="28"/>
          <w:lang w:val="ru-RU"/>
        </w:rPr>
        <w:t>), посевная (</w:t>
      </w:r>
      <w:r w:rsidRPr="00A164DB">
        <w:rPr>
          <w:rFonts w:eastAsia="Times New Roman"/>
          <w:sz w:val="28"/>
          <w:szCs w:val="28"/>
          <w:lang w:val="en-US"/>
        </w:rPr>
        <w:t>Seed</w:t>
      </w:r>
      <w:r w:rsidRPr="00A164DB">
        <w:rPr>
          <w:rFonts w:eastAsia="Times New Roman"/>
          <w:sz w:val="28"/>
          <w:szCs w:val="28"/>
          <w:lang w:val="ru-RU"/>
        </w:rPr>
        <w:t xml:space="preserve">), раунд </w:t>
      </w:r>
      <w:r w:rsidRPr="00A164DB">
        <w:rPr>
          <w:rFonts w:eastAsia="Times New Roman"/>
          <w:sz w:val="28"/>
          <w:szCs w:val="28"/>
          <w:lang w:val="en-US"/>
        </w:rPr>
        <w:t>A</w:t>
      </w:r>
      <w:r w:rsidRPr="00A164DB">
        <w:rPr>
          <w:rFonts w:eastAsia="Times New Roman"/>
          <w:sz w:val="28"/>
          <w:szCs w:val="28"/>
          <w:lang w:val="ru-RU"/>
        </w:rPr>
        <w:t xml:space="preserve">), а в управлении придерживается принципов «умных денег». </w:t>
      </w:r>
    </w:p>
    <w:p w14:paraId="29811A7A" w14:textId="77777777" w:rsidR="001237E7" w:rsidRPr="00A164DB" w:rsidRDefault="001237E7" w:rsidP="001237E7">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xml:space="preserve">При построении инвестиционной модели реализует диверсификацию по стадиям (мультистадийная модель) и по </w:t>
      </w:r>
      <w:r w:rsidRPr="00A164DB">
        <w:rPr>
          <w:rFonts w:eastAsia="Times New Roman"/>
          <w:sz w:val="28"/>
          <w:szCs w:val="28"/>
          <w:lang w:val="ru-RU"/>
        </w:rPr>
        <w:lastRenderedPageBreak/>
        <w:t xml:space="preserve">секторам, при этом доля в капитале портфельной компании должна быть не менее 10%. </w:t>
      </w:r>
    </w:p>
    <w:p w14:paraId="58E173A4" w14:textId="77777777" w:rsidR="001237E7" w:rsidRPr="00A164DB" w:rsidRDefault="001237E7" w:rsidP="001237E7">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В 2023 г. был осуществлен запуск проектного офиса «Восход – Космические технологии» для решения вспомогательных задач применительно к проектам фонда, их верификации и акселерации:</w:t>
      </w:r>
    </w:p>
    <w:p w14:paraId="5C1E32B1" w14:textId="77777777" w:rsidR="001237E7" w:rsidRPr="00A164DB" w:rsidRDefault="001237E7" w:rsidP="001237E7">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сопровождение разработки изделий во взаимодействии с экспертами отрасли;</w:t>
      </w:r>
    </w:p>
    <w:p w14:paraId="0D8BA185" w14:textId="77777777" w:rsidR="001237E7" w:rsidRPr="00A164DB" w:rsidRDefault="001237E7" w:rsidP="001237E7">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доукомплектование команд специалистами отрасли;</w:t>
      </w:r>
    </w:p>
    <w:p w14:paraId="40C03067" w14:textId="77777777" w:rsidR="001237E7" w:rsidRPr="00A164DB" w:rsidRDefault="001237E7" w:rsidP="001237E7">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сопровождение внутренних процессов разработки, управления (при необходимости их выстраивание);</w:t>
      </w:r>
    </w:p>
    <w:p w14:paraId="280DA507" w14:textId="77777777" w:rsidR="001237E7" w:rsidRPr="00A164DB" w:rsidRDefault="001237E7" w:rsidP="001237E7">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разработка продукта с учетом особенностей, специфики и малых объемов частного космоса.</w:t>
      </w:r>
    </w:p>
    <w:p w14:paraId="2E80CD91" w14:textId="77777777" w:rsidR="001237E7" w:rsidRPr="00A164DB" w:rsidRDefault="001237E7" w:rsidP="001237E7">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xml:space="preserve">Компания сфокусирована на следующих направлениях: </w:t>
      </w:r>
    </w:p>
    <w:p w14:paraId="1E5B0D38" w14:textId="77777777" w:rsidR="001237E7" w:rsidRPr="00A164DB" w:rsidRDefault="001237E7" w:rsidP="001237E7">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малые и средние разгонные блоки;</w:t>
      </w:r>
    </w:p>
    <w:p w14:paraId="2616D325" w14:textId="77777777" w:rsidR="001237E7" w:rsidRPr="00A164DB" w:rsidRDefault="001237E7" w:rsidP="001237E7">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космические ракетные комплексы для ракет-носителей сверхлегкого класса;</w:t>
      </w:r>
    </w:p>
    <w:p w14:paraId="54AEF5F3" w14:textId="77777777" w:rsidR="001237E7" w:rsidRPr="00A164DB" w:rsidRDefault="001237E7" w:rsidP="001237E7">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спутниковые платформы массой до 300 кг для сервисов дистанционного зондирования Земли и связи;</w:t>
      </w:r>
    </w:p>
    <w:p w14:paraId="571E5E5E" w14:textId="77777777" w:rsidR="001237E7" w:rsidRPr="00A164DB" w:rsidRDefault="001237E7" w:rsidP="001237E7">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полезные нагрузки для спутниковых платформ (оптические, лазерные и гиперспектральные системы);</w:t>
      </w:r>
    </w:p>
    <w:p w14:paraId="431715FD" w14:textId="77777777" w:rsidR="001237E7" w:rsidRPr="00A164DB" w:rsidRDefault="001237E7" w:rsidP="001237E7">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малые жидкостные ракетные двигатели и водородные двигатели.</w:t>
      </w:r>
    </w:p>
    <w:p w14:paraId="67B35C94" w14:textId="77777777" w:rsidR="001237E7" w:rsidRPr="00A164DB" w:rsidRDefault="001237E7" w:rsidP="001237E7">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xml:space="preserve">В портфеле представлены проект ОКБ Кулон (ракета-носитель </w:t>
      </w:r>
      <w:r w:rsidRPr="00A164DB">
        <w:rPr>
          <w:rFonts w:eastAsia="Times New Roman"/>
          <w:sz w:val="28"/>
          <w:szCs w:val="28"/>
          <w:lang w:val="en-US"/>
        </w:rPr>
        <w:t>Paragon</w:t>
      </w:r>
      <w:r w:rsidRPr="00A164DB">
        <w:rPr>
          <w:rFonts w:eastAsia="Times New Roman"/>
          <w:sz w:val="28"/>
          <w:szCs w:val="28"/>
          <w:lang w:val="ru-RU"/>
        </w:rPr>
        <w:t xml:space="preserve">, объем инвестиций 130 млн р.) и 3Д Исследования и разработки (ракета-носитель «Воронеж», объем инвестиций 120 млн р.). </w:t>
      </w:r>
    </w:p>
    <w:p w14:paraId="5218B00D" w14:textId="639A87F3" w:rsidR="00C01745" w:rsidRPr="001E4BFA" w:rsidRDefault="00F53329" w:rsidP="00A87AB1">
      <w:pPr>
        <w:pBdr>
          <w:top w:val="nil"/>
          <w:left w:val="nil"/>
          <w:bottom w:val="nil"/>
          <w:right w:val="nil"/>
          <w:between w:val="nil"/>
        </w:pBdr>
        <w:spacing w:line="240" w:lineRule="auto"/>
        <w:ind w:firstLine="720"/>
        <w:jc w:val="both"/>
        <w:rPr>
          <w:rFonts w:eastAsia="Times New Roman"/>
          <w:sz w:val="28"/>
          <w:szCs w:val="28"/>
          <w:lang w:val="ru-RU"/>
        </w:rPr>
      </w:pPr>
      <w:r w:rsidRPr="00A164DB">
        <w:rPr>
          <w:rFonts w:eastAsia="Times New Roman"/>
          <w:sz w:val="28"/>
          <w:szCs w:val="28"/>
          <w:lang w:val="ru-RU"/>
        </w:rPr>
        <w:t>В конце января 2025 г. к проекту по созданию ракеты-носителя «Воронеж» на этапе завершения эскизного проектирования космического ракетного комплекса присоединился Фонд суверенных технологий Национальной технологической инициативы (совокупный объем фонда и субфондов составляет более 9 млрд р., имея потенциал для расширения до 62 млрд р.), инвестировав 60 млн р. Инвестиции пойдут также на создание конструкторского макета второй ступени, и соглашением между фондами и компанией предусматривается возможность финансирования в дальнейшем.</w:t>
      </w:r>
    </w:p>
    <w:p w14:paraId="29B750AE" w14:textId="7EA88F4B" w:rsidR="003D59B3" w:rsidRPr="001E4BFA" w:rsidRDefault="009B0CC6" w:rsidP="00B32A94">
      <w:pPr>
        <w:spacing w:before="120" w:after="120" w:line="240" w:lineRule="auto"/>
        <w:jc w:val="center"/>
        <w:outlineLvl w:val="1"/>
        <w:rPr>
          <w:rFonts w:eastAsia="Times New Roman"/>
          <w:b/>
          <w:sz w:val="28"/>
          <w:szCs w:val="28"/>
        </w:rPr>
      </w:pPr>
      <w:r w:rsidRPr="001E4BFA">
        <w:rPr>
          <w:rFonts w:eastAsia="Times New Roman"/>
          <w:b/>
          <w:sz w:val="28"/>
          <w:szCs w:val="28"/>
        </w:rPr>
        <w:lastRenderedPageBreak/>
        <w:t>Обсуждение</w:t>
      </w:r>
    </w:p>
    <w:p w14:paraId="2A55518B" w14:textId="60F51366" w:rsidR="001237E7" w:rsidRDefault="001237E7" w:rsidP="001237E7">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xml:space="preserve">Объединение фондов в </w:t>
      </w:r>
      <w:r w:rsidR="00F53329">
        <w:rPr>
          <w:rFonts w:eastAsia="Times New Roman"/>
          <w:sz w:val="28"/>
          <w:szCs w:val="28"/>
          <w:lang w:val="ru-RU"/>
        </w:rPr>
        <w:t xml:space="preserve">подобных </w:t>
      </w:r>
      <w:r w:rsidRPr="00A164DB">
        <w:rPr>
          <w:rFonts w:eastAsia="Times New Roman"/>
          <w:sz w:val="28"/>
          <w:szCs w:val="28"/>
          <w:lang w:val="ru-RU"/>
        </w:rPr>
        <w:t>проект</w:t>
      </w:r>
      <w:r w:rsidR="00F53329">
        <w:rPr>
          <w:rFonts w:eastAsia="Times New Roman"/>
          <w:sz w:val="28"/>
          <w:szCs w:val="28"/>
          <w:lang w:val="ru-RU"/>
        </w:rPr>
        <w:t>ах</w:t>
      </w:r>
      <w:r w:rsidRPr="00A164DB">
        <w:rPr>
          <w:rFonts w:eastAsia="Times New Roman"/>
          <w:sz w:val="28"/>
          <w:szCs w:val="28"/>
          <w:lang w:val="ru-RU"/>
        </w:rPr>
        <w:t xml:space="preserve"> рассматривается как необходимая научно-производственно-финансовая кооперация, также руководство фонд</w:t>
      </w:r>
      <w:r w:rsidR="00F53329">
        <w:rPr>
          <w:rFonts w:eastAsia="Times New Roman"/>
          <w:sz w:val="28"/>
          <w:szCs w:val="28"/>
          <w:lang w:val="ru-RU"/>
        </w:rPr>
        <w:t>ов</w:t>
      </w:r>
      <w:r w:rsidRPr="00A164DB">
        <w:rPr>
          <w:rFonts w:eastAsia="Times New Roman"/>
          <w:sz w:val="28"/>
          <w:szCs w:val="28"/>
          <w:lang w:val="ru-RU"/>
        </w:rPr>
        <w:t xml:space="preserve"> при организации работы с проектами делает акцент на важности реализации исторически доказавшего свою эффективность в ракетостроении принципа «максимально оперативный выход на летные испытания».</w:t>
      </w:r>
      <w:r w:rsidR="00943D76" w:rsidRPr="00943D76">
        <w:rPr>
          <w:rFonts w:eastAsia="Times New Roman"/>
          <w:sz w:val="28"/>
          <w:szCs w:val="28"/>
          <w:lang w:val="ru-RU"/>
        </w:rPr>
        <w:t xml:space="preserve"> [8] </w:t>
      </w:r>
      <w:r w:rsidRPr="00A164DB">
        <w:rPr>
          <w:rFonts w:eastAsia="Times New Roman"/>
          <w:sz w:val="28"/>
          <w:szCs w:val="28"/>
          <w:lang w:val="ru-RU"/>
        </w:rPr>
        <w:t xml:space="preserve">При сознательном увеличении рисков летных аварий, на основе их анализа, в следующий прототип вносятся необходимые улучшения и доработки, что резко сокращает срок получения работоспособной и надежной ракетной техники. </w:t>
      </w:r>
      <w:r w:rsidR="00F53329">
        <w:rPr>
          <w:rFonts w:eastAsia="Times New Roman"/>
          <w:sz w:val="28"/>
          <w:szCs w:val="28"/>
          <w:lang w:val="ru-RU"/>
        </w:rPr>
        <w:t>Это требует пересмотров количественной оценки рисков данных проектов, что также найдет свое отражение в инструментарии оценки.</w:t>
      </w:r>
    </w:p>
    <w:p w14:paraId="1CD71C3B" w14:textId="77777777" w:rsidR="001237E7" w:rsidRPr="00A164DB" w:rsidRDefault="001237E7" w:rsidP="001237E7">
      <w:pPr>
        <w:spacing w:before="220" w:after="40" w:line="240" w:lineRule="auto"/>
        <w:ind w:firstLine="709"/>
        <w:jc w:val="both"/>
        <w:rPr>
          <w:rFonts w:eastAsia="Times New Roman"/>
          <w:sz w:val="28"/>
          <w:szCs w:val="28"/>
          <w:lang w:val="ru-RU"/>
        </w:rPr>
      </w:pPr>
    </w:p>
    <w:p w14:paraId="0D083D2F" w14:textId="3074E3C5" w:rsidR="0086532E" w:rsidRPr="00203CC7" w:rsidRDefault="0086532E" w:rsidP="0086532E">
      <w:pPr>
        <w:keepNext/>
        <w:spacing w:before="120" w:after="120" w:line="240" w:lineRule="auto"/>
        <w:outlineLvl w:val="0"/>
        <w:rPr>
          <w:rFonts w:eastAsia="Times New Roman"/>
          <w:b/>
          <w:i/>
          <w:color w:val="0070C0"/>
          <w:sz w:val="28"/>
          <w:szCs w:val="28"/>
        </w:rPr>
      </w:pPr>
      <w:r w:rsidRPr="00203CC7">
        <w:rPr>
          <w:rFonts w:eastAsia="Times New Roman"/>
          <w:b/>
          <w:i/>
          <w:color w:val="0070C0"/>
          <w:sz w:val="28"/>
          <w:szCs w:val="28"/>
        </w:rPr>
        <w:t>&lt;Заключение&gt;</w:t>
      </w:r>
    </w:p>
    <w:p w14:paraId="12092E21" w14:textId="53251A36" w:rsidR="004F50DF" w:rsidRPr="001E4BFA" w:rsidRDefault="0086532E" w:rsidP="00E00FDD">
      <w:pPr>
        <w:keepNext/>
        <w:spacing w:before="120" w:after="120" w:line="240" w:lineRule="auto"/>
        <w:jc w:val="center"/>
        <w:outlineLvl w:val="1"/>
        <w:rPr>
          <w:rFonts w:eastAsia="Times New Roman"/>
          <w:b/>
          <w:sz w:val="28"/>
          <w:szCs w:val="28"/>
          <w:lang w:val="ru-RU"/>
        </w:rPr>
      </w:pPr>
      <w:r w:rsidRPr="001E4BFA">
        <w:rPr>
          <w:rFonts w:eastAsia="Times New Roman"/>
          <w:b/>
          <w:sz w:val="28"/>
          <w:szCs w:val="28"/>
          <w:lang w:val="ru-RU"/>
        </w:rPr>
        <w:t>Заключение</w:t>
      </w:r>
    </w:p>
    <w:p w14:paraId="626A34B0" w14:textId="77777777" w:rsidR="00A164DB" w:rsidRPr="00A164DB" w:rsidRDefault="00A164DB" w:rsidP="00A164DB">
      <w:pPr>
        <w:spacing w:before="220" w:after="40" w:line="240" w:lineRule="auto"/>
        <w:ind w:firstLine="709"/>
        <w:jc w:val="both"/>
        <w:rPr>
          <w:rFonts w:eastAsia="Times New Roman"/>
          <w:sz w:val="28"/>
          <w:szCs w:val="28"/>
          <w:lang w:val="ru-RU"/>
        </w:rPr>
      </w:pPr>
      <w:r w:rsidRPr="00A164DB">
        <w:rPr>
          <w:rFonts w:eastAsia="Times New Roman"/>
          <w:sz w:val="28"/>
          <w:szCs w:val="28"/>
          <w:lang w:val="ru-RU"/>
        </w:rPr>
        <w:t xml:space="preserve">Проведенный анализ бизнес-моделей, а также источников финансирования частных космических отечественных компаний позволяет говорить о важности формирования доверительных отношений с инвесторами, особенно с теми из них, кто продолжает вложения при резко снизившемся объеме всего рынка высокорисковых инвестиций. Высокие процентные ставки, истощая рост капитала со стороны инвесторов, объясняют сегодняшний спад также невыполненными обещаниями доходов многими компаниями. Не обязательно речь идет о том, что эти компании являлись «плохими» инвестициями, с позиции инвесторов вложения в данные активы требуют очень существенного переосмысления (начиная с повышения осведомленности о космической отрасли, компаниях и стартапах). Если для розничных инвесторов данный рынок характеризуется высокой предвзятостью к эмитентам, то для институциональных инвесторов, инвестиционных фондов важным является нахождение так называемого дна рынка и момента его прохождения. В этой связи важным становится при построении взаимоотношений с инвесторами обеспеченность их информацией, повышающей уровень обоснованности при принятии решений. </w:t>
      </w:r>
    </w:p>
    <w:p w14:paraId="43C6206D" w14:textId="1F74372E" w:rsidR="002A3026" w:rsidRPr="001E4BFA" w:rsidRDefault="00A164DB" w:rsidP="00A164DB">
      <w:pPr>
        <w:spacing w:before="220" w:after="40" w:line="240" w:lineRule="auto"/>
        <w:ind w:firstLine="709"/>
        <w:jc w:val="both"/>
        <w:rPr>
          <w:rFonts w:eastAsia="Times New Roman"/>
          <w:sz w:val="28"/>
          <w:szCs w:val="28"/>
        </w:rPr>
      </w:pPr>
      <w:r w:rsidRPr="00A164DB">
        <w:rPr>
          <w:rFonts w:eastAsia="Times New Roman"/>
          <w:sz w:val="28"/>
          <w:szCs w:val="28"/>
          <w:lang w:val="ru-RU"/>
        </w:rPr>
        <w:t xml:space="preserve">В этой связи важным является фиксация приоритета прибыльности как для инвестора, так и для основателей, концентрации на прибыли, на отдаче на вложенный капитал инвестора как условии реинвестирования в отрасль и на </w:t>
      </w:r>
      <w:r w:rsidRPr="00A164DB">
        <w:rPr>
          <w:rFonts w:eastAsia="Times New Roman"/>
          <w:sz w:val="28"/>
          <w:szCs w:val="28"/>
          <w:lang w:val="ru-RU"/>
        </w:rPr>
        <w:lastRenderedPageBreak/>
        <w:t>совершенствовании бизнес-модели с учетом исторического опыта развития российской космонавтики является многоаспектной и порой противоречивой задачей.</w:t>
      </w:r>
    </w:p>
    <w:p w14:paraId="20E05BF5" w14:textId="77777777" w:rsidR="0086532E" w:rsidRPr="001E4BFA" w:rsidRDefault="0086532E" w:rsidP="0086532E">
      <w:pPr>
        <w:spacing w:after="160" w:line="240" w:lineRule="auto"/>
        <w:ind w:firstLine="709"/>
        <w:jc w:val="center"/>
        <w:rPr>
          <w:rFonts w:eastAsia="Times New Roman"/>
          <w:b/>
          <w:sz w:val="28"/>
          <w:szCs w:val="28"/>
        </w:rPr>
      </w:pPr>
      <w:r w:rsidRPr="001E4BFA">
        <w:rPr>
          <w:rFonts w:eastAsia="Times New Roman"/>
          <w:b/>
          <w:sz w:val="28"/>
          <w:szCs w:val="28"/>
        </w:rPr>
        <w:br w:type="page"/>
      </w:r>
    </w:p>
    <w:p w14:paraId="4322F686" w14:textId="392EC4F9" w:rsidR="00DD2825" w:rsidRPr="001E4BFA" w:rsidRDefault="009B0CC6" w:rsidP="00DD2825">
      <w:pPr>
        <w:spacing w:after="160" w:line="240" w:lineRule="auto"/>
        <w:ind w:firstLine="709"/>
        <w:jc w:val="center"/>
        <w:rPr>
          <w:rFonts w:eastAsia="Times New Roman"/>
          <w:b/>
          <w:sz w:val="28"/>
          <w:szCs w:val="28"/>
          <w:lang w:val="ru-RU"/>
        </w:rPr>
      </w:pPr>
      <w:r w:rsidRPr="001E4BFA">
        <w:rPr>
          <w:rFonts w:eastAsia="Times New Roman"/>
          <w:b/>
          <w:sz w:val="28"/>
          <w:szCs w:val="28"/>
        </w:rPr>
        <w:lastRenderedPageBreak/>
        <w:t xml:space="preserve">Список </w:t>
      </w:r>
      <w:r w:rsidR="004E0A95" w:rsidRPr="001E4BFA">
        <w:rPr>
          <w:rFonts w:eastAsia="Times New Roman"/>
          <w:b/>
          <w:sz w:val="28"/>
          <w:szCs w:val="28"/>
          <w:lang w:val="ru-RU"/>
        </w:rPr>
        <w:t>источников</w:t>
      </w:r>
    </w:p>
    <w:p w14:paraId="48E2709E" w14:textId="77777777" w:rsidR="0068112D" w:rsidRPr="0068112D" w:rsidRDefault="0068112D" w:rsidP="0068112D">
      <w:pPr>
        <w:pStyle w:val="af"/>
        <w:numPr>
          <w:ilvl w:val="0"/>
          <w:numId w:val="5"/>
        </w:numPr>
        <w:spacing w:line="240" w:lineRule="auto"/>
        <w:ind w:left="714" w:hanging="357"/>
        <w:jc w:val="both"/>
        <w:rPr>
          <w:rFonts w:eastAsia="Times New Roman"/>
          <w:sz w:val="24"/>
          <w:szCs w:val="24"/>
          <w:lang w:val="en-US"/>
        </w:rPr>
      </w:pPr>
      <w:r w:rsidRPr="0068112D">
        <w:rPr>
          <w:sz w:val="24"/>
          <w:szCs w:val="24"/>
          <w:lang w:val="en-US"/>
        </w:rPr>
        <w:t xml:space="preserve">Golkar and A. Salado, "Definition of New Space—Expert Survey Results and Key Technology Trends," in IEEE Journal on Miniaturization for Air and Space Systems, vol. 2, no. 1, pp. 2-9, March 2021, doi: 10.1109/JMASS.2020.3045851 URL: </w:t>
      </w:r>
      <w:hyperlink r:id="rId8" w:history="1">
        <w:r w:rsidRPr="0068112D">
          <w:rPr>
            <w:rStyle w:val="af3"/>
            <w:color w:val="000000"/>
            <w:sz w:val="24"/>
            <w:szCs w:val="24"/>
            <w:u w:color="0563C1"/>
            <w:lang w:val="en-US"/>
          </w:rPr>
          <w:t>https://ieeexplore.ieee.org/document/9298818</w:t>
        </w:r>
      </w:hyperlink>
    </w:p>
    <w:p w14:paraId="6EAEAA53" w14:textId="77777777" w:rsidR="0068112D" w:rsidRPr="0068112D" w:rsidRDefault="0068112D" w:rsidP="0068112D">
      <w:pPr>
        <w:pStyle w:val="af"/>
        <w:numPr>
          <w:ilvl w:val="0"/>
          <w:numId w:val="5"/>
        </w:numPr>
        <w:spacing w:line="240" w:lineRule="auto"/>
        <w:ind w:left="714" w:hanging="357"/>
        <w:jc w:val="both"/>
        <w:rPr>
          <w:rFonts w:eastAsia="Arial Unicode MS"/>
          <w:sz w:val="24"/>
          <w:szCs w:val="24"/>
          <w:lang w:val="ru-RU"/>
        </w:rPr>
      </w:pPr>
      <w:r w:rsidRPr="0068112D">
        <w:rPr>
          <w:sz w:val="24"/>
          <w:szCs w:val="24"/>
        </w:rPr>
        <w:t>Афанасьев А.А. Опыт реализации и перспективы коммерческих целевых работ на пилотируемых космических комплексах / А.А. Афанасьев, Д.А. Кутовой, С.П. Прокопович, И.П. Фоменко // «Экономика космоса». – 2022. – № 2. – С. 36-43. – DOI: 10.48612/agat/space_economics/2022.01.02.06</w:t>
      </w:r>
    </w:p>
    <w:p w14:paraId="3DC91EA6" w14:textId="77777777" w:rsidR="0068112D" w:rsidRPr="0068112D" w:rsidRDefault="0068112D" w:rsidP="0068112D">
      <w:pPr>
        <w:pStyle w:val="af"/>
        <w:numPr>
          <w:ilvl w:val="0"/>
          <w:numId w:val="5"/>
        </w:numPr>
        <w:spacing w:line="240" w:lineRule="auto"/>
        <w:ind w:left="714" w:hanging="357"/>
        <w:jc w:val="both"/>
        <w:rPr>
          <w:sz w:val="24"/>
          <w:szCs w:val="24"/>
        </w:rPr>
      </w:pPr>
      <w:r w:rsidRPr="0068112D">
        <w:rPr>
          <w:sz w:val="24"/>
          <w:szCs w:val="24"/>
        </w:rPr>
        <w:t>Верещако, Е. А. Исследование подходов к стратегическому дизайну бизнеса в космической сфере / Е. А. Верещако, Т. Н. Рыжикова // Инновации в менеджменте. – 2022. – № 2(32). – С. 22-28. </w:t>
      </w:r>
    </w:p>
    <w:p w14:paraId="67A9A0BE" w14:textId="77777777" w:rsidR="0068112D" w:rsidRPr="0068112D" w:rsidRDefault="0068112D" w:rsidP="0068112D">
      <w:pPr>
        <w:pStyle w:val="af"/>
        <w:numPr>
          <w:ilvl w:val="0"/>
          <w:numId w:val="5"/>
        </w:numPr>
        <w:spacing w:line="240" w:lineRule="auto"/>
        <w:ind w:left="714" w:hanging="357"/>
        <w:jc w:val="both"/>
        <w:rPr>
          <w:rFonts w:eastAsia="Times New Roman"/>
          <w:sz w:val="24"/>
          <w:szCs w:val="24"/>
        </w:rPr>
      </w:pPr>
      <w:r w:rsidRPr="0068112D">
        <w:rPr>
          <w:sz w:val="24"/>
          <w:szCs w:val="24"/>
        </w:rPr>
        <w:t>Гапоненко О.В. Приоритетные направления технологических НИОКР космонавтики и ракетно-космической промышленности России // Экономика и управление: проблемы, решения. №5. Том 4, выпуск 2, май 2017. С. 17-22.</w:t>
      </w:r>
    </w:p>
    <w:p w14:paraId="71887C13" w14:textId="77777777" w:rsidR="0068112D" w:rsidRPr="0068112D" w:rsidRDefault="0068112D" w:rsidP="0068112D">
      <w:pPr>
        <w:pStyle w:val="af"/>
        <w:numPr>
          <w:ilvl w:val="0"/>
          <w:numId w:val="5"/>
        </w:numPr>
        <w:spacing w:line="240" w:lineRule="auto"/>
        <w:ind w:left="714" w:hanging="357"/>
        <w:jc w:val="both"/>
        <w:rPr>
          <w:rFonts w:eastAsia="Times New Roman"/>
          <w:sz w:val="24"/>
          <w:szCs w:val="24"/>
        </w:rPr>
      </w:pPr>
      <w:r w:rsidRPr="0068112D">
        <w:rPr>
          <w:sz w:val="24"/>
          <w:szCs w:val="24"/>
        </w:rPr>
        <w:t>Гордиенко Д. В. Реализация Китаем программ освоения космоса. Часть 1. Космические программы пилотируемых полетов, исследования Солнца, освоения Луны и планетарных исследований // Экономика и управление: проблемы, решения. 2024. № 3. Т. 5. С. 76–95; https://doi.org/10.36871/ek.up.p.r.2024.03.05.011</w:t>
      </w:r>
    </w:p>
    <w:p w14:paraId="1C0CEA0D" w14:textId="77777777" w:rsidR="0068112D" w:rsidRPr="0068112D" w:rsidRDefault="0068112D" w:rsidP="0068112D">
      <w:pPr>
        <w:pStyle w:val="af"/>
        <w:numPr>
          <w:ilvl w:val="0"/>
          <w:numId w:val="5"/>
        </w:numPr>
        <w:spacing w:line="240" w:lineRule="auto"/>
        <w:ind w:left="714" w:hanging="357"/>
        <w:jc w:val="both"/>
        <w:rPr>
          <w:rFonts w:eastAsia="Times New Roman"/>
          <w:sz w:val="24"/>
          <w:szCs w:val="24"/>
        </w:rPr>
      </w:pPr>
      <w:r w:rsidRPr="0068112D">
        <w:rPr>
          <w:sz w:val="24"/>
          <w:szCs w:val="24"/>
        </w:rPr>
        <w:t>Ефимова Е.А. Частные компании в космической промышленности России: особенности функционирования и факторы развития // Вестник университета. 2023. № 3. С. 39–49.</w:t>
      </w:r>
    </w:p>
    <w:p w14:paraId="367BC605" w14:textId="77777777" w:rsidR="0068112D" w:rsidRPr="0068112D" w:rsidRDefault="0068112D" w:rsidP="0068112D">
      <w:pPr>
        <w:pStyle w:val="af"/>
        <w:numPr>
          <w:ilvl w:val="0"/>
          <w:numId w:val="5"/>
        </w:numPr>
        <w:spacing w:line="240" w:lineRule="auto"/>
        <w:ind w:left="714" w:hanging="357"/>
        <w:jc w:val="both"/>
        <w:rPr>
          <w:sz w:val="24"/>
          <w:szCs w:val="24"/>
        </w:rPr>
      </w:pPr>
      <w:r w:rsidRPr="0068112D">
        <w:rPr>
          <w:sz w:val="24"/>
          <w:szCs w:val="24"/>
        </w:rPr>
        <w:t>Жданов В.Л., Чемезов С.В. Системный подход к развитию инновационных проектов космической отрасти // Экономика и управление: проблемы, решения. 2023. Т. 13. № 12. С. 47– 53. https://doi.org/10.36871/ek.up.p.r.2023.12.13.007</w:t>
      </w:r>
    </w:p>
    <w:p w14:paraId="45688ABA" w14:textId="77777777" w:rsidR="0068112D" w:rsidRPr="0068112D" w:rsidRDefault="0068112D" w:rsidP="0068112D">
      <w:pPr>
        <w:pStyle w:val="af"/>
        <w:numPr>
          <w:ilvl w:val="0"/>
          <w:numId w:val="5"/>
        </w:numPr>
        <w:spacing w:line="240" w:lineRule="auto"/>
        <w:ind w:left="714" w:hanging="357"/>
        <w:jc w:val="both"/>
        <w:rPr>
          <w:sz w:val="24"/>
          <w:szCs w:val="24"/>
        </w:rPr>
      </w:pPr>
      <w:r w:rsidRPr="0068112D">
        <w:rPr>
          <w:sz w:val="24"/>
          <w:szCs w:val="24"/>
        </w:rPr>
        <w:t>Кабанов А.А., Мохов М.Ю., Федоров И.А. Цифровое моделирование и имитирование систем аэрокосмического производства с целью управления операционной эффективностью // Экономика космоса – 2022. – №1 – с. 57-68.</w:t>
      </w:r>
    </w:p>
    <w:p w14:paraId="569EE466" w14:textId="77777777" w:rsidR="0068112D" w:rsidRPr="0068112D" w:rsidRDefault="0068112D" w:rsidP="0068112D">
      <w:pPr>
        <w:pStyle w:val="af"/>
        <w:numPr>
          <w:ilvl w:val="0"/>
          <w:numId w:val="5"/>
        </w:numPr>
        <w:spacing w:line="240" w:lineRule="auto"/>
        <w:ind w:left="714" w:hanging="357"/>
        <w:jc w:val="both"/>
        <w:rPr>
          <w:sz w:val="24"/>
          <w:szCs w:val="24"/>
        </w:rPr>
      </w:pPr>
      <w:r w:rsidRPr="0068112D">
        <w:rPr>
          <w:sz w:val="24"/>
          <w:szCs w:val="24"/>
        </w:rPr>
        <w:t>Медаров М. М. Венчурное инвестирование в России проблемы и перспективы // Экономика и управление: проблемы, решения. 2024. № 5. Т. 5. С. 275–281; https://doi.org/10.36871/ ek.up.p.r.2024.05.05.036</w:t>
      </w:r>
    </w:p>
    <w:p w14:paraId="28AD0D4D" w14:textId="77777777" w:rsidR="0068112D" w:rsidRPr="0068112D" w:rsidRDefault="0068112D" w:rsidP="0068112D">
      <w:pPr>
        <w:pStyle w:val="af"/>
        <w:numPr>
          <w:ilvl w:val="0"/>
          <w:numId w:val="5"/>
        </w:numPr>
        <w:spacing w:line="240" w:lineRule="auto"/>
        <w:ind w:left="714" w:hanging="357"/>
        <w:jc w:val="both"/>
        <w:rPr>
          <w:sz w:val="24"/>
          <w:szCs w:val="24"/>
        </w:rPr>
      </w:pPr>
      <w:r w:rsidRPr="0068112D">
        <w:rPr>
          <w:sz w:val="24"/>
          <w:szCs w:val="24"/>
        </w:rPr>
        <w:t>Мысляева И.Н. Перспективные финансовые инструменты поддержки космической отрасли в России / И.Н. Мысляева, Т.К. Блохина // «Экономика космоса». – 2024. – № 9. – С. 29-39. – DOI 10.48612/agat/space_economics/2024.03.09.04</w:t>
      </w:r>
    </w:p>
    <w:p w14:paraId="11E3FA33" w14:textId="77777777" w:rsidR="0068112D" w:rsidRPr="0068112D" w:rsidRDefault="0068112D" w:rsidP="0068112D">
      <w:pPr>
        <w:pStyle w:val="af"/>
        <w:numPr>
          <w:ilvl w:val="0"/>
          <w:numId w:val="5"/>
        </w:numPr>
        <w:spacing w:line="240" w:lineRule="auto"/>
        <w:ind w:left="714" w:hanging="357"/>
        <w:jc w:val="both"/>
        <w:rPr>
          <w:sz w:val="24"/>
          <w:szCs w:val="24"/>
        </w:rPr>
      </w:pPr>
      <w:r w:rsidRPr="0068112D">
        <w:rPr>
          <w:sz w:val="24"/>
          <w:szCs w:val="24"/>
        </w:rPr>
        <w:t>Мысляева И.Н. Частная космонавтика в России: быть или не быть?: монография. – Москва: КУРС, 2024. – 146 с.</w:t>
      </w:r>
    </w:p>
    <w:p w14:paraId="720224FB" w14:textId="77777777" w:rsidR="0068112D" w:rsidRPr="0068112D" w:rsidRDefault="0068112D" w:rsidP="0068112D">
      <w:pPr>
        <w:pStyle w:val="af"/>
        <w:numPr>
          <w:ilvl w:val="0"/>
          <w:numId w:val="5"/>
        </w:numPr>
        <w:spacing w:line="240" w:lineRule="auto"/>
        <w:ind w:left="714" w:hanging="357"/>
        <w:jc w:val="both"/>
        <w:rPr>
          <w:rFonts w:eastAsia="Times New Roman"/>
          <w:sz w:val="24"/>
          <w:szCs w:val="24"/>
        </w:rPr>
      </w:pPr>
      <w:r w:rsidRPr="0068112D">
        <w:rPr>
          <w:rFonts w:eastAsia="Times New Roman"/>
          <w:sz w:val="24"/>
          <w:szCs w:val="24"/>
        </w:rPr>
        <w:t>Тхамадокова И.Х. Создание рыночных условий и коммерциализация спутниковых услуг в России: предпосылки и механизм реализации / И.Х. Тхамадокова, М.В. Спасская, А.Н. Ивкин // «Экономика космоса». – 2024. – № 10. – С. 4-11. – DOI 10.48612/agat/space_economics/2024.03.10.01</w:t>
      </w:r>
    </w:p>
    <w:p w14:paraId="21E38CC4" w14:textId="73F5A529" w:rsidR="0083657E" w:rsidRPr="001E4BFA" w:rsidRDefault="0083657E" w:rsidP="0083657E">
      <w:pPr>
        <w:keepNext/>
        <w:spacing w:after="160" w:line="240" w:lineRule="auto"/>
        <w:ind w:left="357"/>
        <w:jc w:val="center"/>
        <w:rPr>
          <w:rFonts w:eastAsia="Times New Roman"/>
          <w:b/>
          <w:sz w:val="28"/>
          <w:szCs w:val="28"/>
          <w:lang w:val="en-US"/>
        </w:rPr>
      </w:pPr>
      <w:r w:rsidRPr="001E4BFA">
        <w:rPr>
          <w:rFonts w:eastAsia="Times New Roman"/>
          <w:b/>
          <w:sz w:val="28"/>
          <w:szCs w:val="28"/>
          <w:lang w:val="en-US"/>
        </w:rPr>
        <w:t>References</w:t>
      </w:r>
    </w:p>
    <w:p w14:paraId="1A881A96" w14:textId="77777777" w:rsidR="0068112D" w:rsidRPr="0068112D" w:rsidRDefault="0068112D" w:rsidP="0068112D">
      <w:pPr>
        <w:pStyle w:val="af"/>
        <w:numPr>
          <w:ilvl w:val="0"/>
          <w:numId w:val="12"/>
        </w:numPr>
        <w:spacing w:line="240" w:lineRule="auto"/>
        <w:ind w:left="714" w:hanging="357"/>
        <w:jc w:val="both"/>
        <w:rPr>
          <w:rFonts w:eastAsia="Times New Roman"/>
          <w:sz w:val="24"/>
          <w:szCs w:val="24"/>
          <w:lang w:val="en-US"/>
        </w:rPr>
      </w:pPr>
      <w:r w:rsidRPr="0068112D">
        <w:rPr>
          <w:sz w:val="24"/>
          <w:szCs w:val="24"/>
          <w:lang w:val="en-US"/>
        </w:rPr>
        <w:t xml:space="preserve">Golkar and A. Salado, "Definition of New Space—Expert Survey Results and Key Technology Trends," in IEEE Journal on Miniaturization for Air and Space </w:t>
      </w:r>
      <w:r w:rsidRPr="0068112D">
        <w:rPr>
          <w:sz w:val="24"/>
          <w:szCs w:val="24"/>
          <w:lang w:val="en-US"/>
        </w:rPr>
        <w:lastRenderedPageBreak/>
        <w:t xml:space="preserve">Systems, vol. 2, no. 1, pp. 2-9, March 2021, doi: 10.1109/JMASS.2020.3045851 URL: </w:t>
      </w:r>
      <w:hyperlink r:id="rId9" w:history="1">
        <w:r w:rsidRPr="0068112D">
          <w:rPr>
            <w:rStyle w:val="af3"/>
            <w:sz w:val="24"/>
            <w:szCs w:val="24"/>
            <w:u w:color="0563C1"/>
            <w:lang w:val="en-US"/>
          </w:rPr>
          <w:t>https://ieeexplore.ieee.org/document/9298818</w:t>
        </w:r>
      </w:hyperlink>
    </w:p>
    <w:p w14:paraId="7270BA7E" w14:textId="77777777" w:rsidR="0068112D" w:rsidRPr="0068112D" w:rsidRDefault="0068112D" w:rsidP="0068112D">
      <w:pPr>
        <w:pStyle w:val="af"/>
        <w:numPr>
          <w:ilvl w:val="0"/>
          <w:numId w:val="12"/>
        </w:numPr>
        <w:spacing w:line="240" w:lineRule="auto"/>
        <w:ind w:left="714" w:hanging="357"/>
        <w:jc w:val="both"/>
        <w:rPr>
          <w:rFonts w:eastAsia="Arial Unicode MS"/>
          <w:sz w:val="24"/>
          <w:szCs w:val="24"/>
          <w:lang w:val="en-US"/>
        </w:rPr>
      </w:pPr>
      <w:r w:rsidRPr="0068112D">
        <w:rPr>
          <w:sz w:val="24"/>
          <w:szCs w:val="24"/>
          <w:lang w:val="en"/>
        </w:rPr>
        <w:t>Afanasyev A.A. Experience in implementation and prospects for commercial targeted work on manned space systems / A.A. Afanasyev, D.A. Kutovoy, S.P. Prokopovich, I.P. Fomenko // “Space Economics”. – 2022. – No. 2. – P. 36-43. – DOI: 10.48612/agat/space_economics/2022.01.02.06</w:t>
      </w:r>
    </w:p>
    <w:p w14:paraId="0FB2A817" w14:textId="77777777" w:rsidR="0068112D" w:rsidRPr="0068112D" w:rsidRDefault="0068112D" w:rsidP="0068112D">
      <w:pPr>
        <w:pStyle w:val="af"/>
        <w:numPr>
          <w:ilvl w:val="0"/>
          <w:numId w:val="12"/>
        </w:numPr>
        <w:spacing w:line="240" w:lineRule="auto"/>
        <w:ind w:left="714" w:hanging="357"/>
        <w:jc w:val="both"/>
        <w:rPr>
          <w:sz w:val="24"/>
          <w:szCs w:val="24"/>
          <w:lang w:val="en-US"/>
        </w:rPr>
      </w:pPr>
      <w:r w:rsidRPr="0068112D">
        <w:rPr>
          <w:sz w:val="24"/>
          <w:szCs w:val="24"/>
          <w:lang w:val="en"/>
        </w:rPr>
        <w:t>Vereshchako, E. A. Study of approaches to strategic business design in the space sector / E. A. Vereshchako, T. N. Ryzhikova // Innovations in management. – 2022. – No. 2(32). – pp. 22-28.</w:t>
      </w:r>
    </w:p>
    <w:p w14:paraId="69AF67FC" w14:textId="77777777" w:rsidR="0068112D" w:rsidRPr="0068112D" w:rsidRDefault="0068112D" w:rsidP="0068112D">
      <w:pPr>
        <w:pStyle w:val="af"/>
        <w:numPr>
          <w:ilvl w:val="0"/>
          <w:numId w:val="12"/>
        </w:numPr>
        <w:spacing w:line="240" w:lineRule="auto"/>
        <w:ind w:left="714" w:hanging="357"/>
        <w:jc w:val="both"/>
        <w:rPr>
          <w:rFonts w:eastAsia="Times New Roman"/>
          <w:sz w:val="24"/>
          <w:szCs w:val="24"/>
          <w:lang w:val="en-US"/>
        </w:rPr>
      </w:pPr>
      <w:r w:rsidRPr="0068112D">
        <w:rPr>
          <w:sz w:val="24"/>
          <w:szCs w:val="24"/>
          <w:lang w:val="en-US"/>
        </w:rPr>
        <w:t>Gaponenko O.V. The Priority Directions of the Technological R&amp;D Space and Space-Rocket Industry of Russia //</w:t>
      </w:r>
      <w:r w:rsidRPr="0068112D">
        <w:rPr>
          <w:b/>
          <w:bCs/>
          <w:color w:val="FFFFFF"/>
          <w:kern w:val="36"/>
          <w:sz w:val="24"/>
          <w:szCs w:val="24"/>
          <w:lang w:val="en-US"/>
        </w:rPr>
        <w:t xml:space="preserve"> </w:t>
      </w:r>
      <w:r w:rsidRPr="0068112D">
        <w:rPr>
          <w:sz w:val="24"/>
          <w:szCs w:val="24"/>
          <w:lang w:val="en-US"/>
        </w:rPr>
        <w:t>Ekonomika i upravlenie: problemy, resheniya. №5. Vol. 4, May 2017. P. 17-22.</w:t>
      </w:r>
    </w:p>
    <w:p w14:paraId="09352443" w14:textId="77777777" w:rsidR="0068112D" w:rsidRPr="0068112D" w:rsidRDefault="0068112D" w:rsidP="0068112D">
      <w:pPr>
        <w:pStyle w:val="af"/>
        <w:numPr>
          <w:ilvl w:val="0"/>
          <w:numId w:val="12"/>
        </w:numPr>
        <w:spacing w:line="240" w:lineRule="auto"/>
        <w:ind w:left="714" w:hanging="357"/>
        <w:jc w:val="both"/>
        <w:rPr>
          <w:rFonts w:eastAsia="Times New Roman"/>
          <w:sz w:val="24"/>
          <w:szCs w:val="24"/>
          <w:lang w:val="en-US"/>
        </w:rPr>
      </w:pPr>
      <w:r w:rsidRPr="0068112D">
        <w:rPr>
          <w:sz w:val="24"/>
          <w:szCs w:val="24"/>
          <w:lang w:val="en-US"/>
        </w:rPr>
        <w:t>Gordienko D. V. China’s implementation of space exploration programs. Part 1. Space programs for manned flights, Solar exploration, Lunar exploration and planetary exploration. Ekonomika i upravlenie: problemy resheniya. 2024. Vol. 5. No. 3. P. 76-95; https://doi.org/10.36871/ ek.up.p.r.2024.03.05.011</w:t>
      </w:r>
    </w:p>
    <w:p w14:paraId="3A37CD56" w14:textId="77777777" w:rsidR="0068112D" w:rsidRPr="0068112D" w:rsidRDefault="0068112D" w:rsidP="0068112D">
      <w:pPr>
        <w:pStyle w:val="af"/>
        <w:numPr>
          <w:ilvl w:val="0"/>
          <w:numId w:val="12"/>
        </w:numPr>
        <w:spacing w:line="240" w:lineRule="auto"/>
        <w:ind w:left="714" w:hanging="357"/>
        <w:jc w:val="both"/>
        <w:rPr>
          <w:rFonts w:eastAsia="Times New Roman"/>
          <w:sz w:val="24"/>
          <w:szCs w:val="24"/>
          <w:lang w:val="ru-RU"/>
        </w:rPr>
      </w:pPr>
      <w:r w:rsidRPr="0068112D">
        <w:rPr>
          <w:rFonts w:eastAsia="Times New Roman"/>
          <w:sz w:val="24"/>
          <w:szCs w:val="24"/>
          <w:lang w:val="ru-RU"/>
        </w:rPr>
        <w:t>Efimova E.A. Private companies in the Russian space industry: features of functioning and development factors // Bulletin of the University. 2023. No. 3. pp. 39–49.</w:t>
      </w:r>
    </w:p>
    <w:p w14:paraId="16748441" w14:textId="77777777" w:rsidR="0068112D" w:rsidRPr="0068112D" w:rsidRDefault="0068112D" w:rsidP="0068112D">
      <w:pPr>
        <w:pStyle w:val="af"/>
        <w:numPr>
          <w:ilvl w:val="0"/>
          <w:numId w:val="12"/>
        </w:numPr>
        <w:spacing w:line="240" w:lineRule="auto"/>
        <w:ind w:left="714" w:hanging="357"/>
        <w:jc w:val="both"/>
        <w:rPr>
          <w:rFonts w:eastAsia="Arial Unicode MS"/>
          <w:sz w:val="24"/>
          <w:szCs w:val="24"/>
          <w:lang w:val="en-US"/>
        </w:rPr>
      </w:pPr>
      <w:r w:rsidRPr="0068112D">
        <w:rPr>
          <w:sz w:val="24"/>
          <w:szCs w:val="24"/>
          <w:lang w:val="en-US"/>
        </w:rPr>
        <w:t xml:space="preserve">Zhdanov V.L., Chemezov S.V. A systematic approach to the development of the space industry: the synergy of science, production and innovation. Ekonomika i upravlenie: problemy resheniya. 2023. Vol. 13. No. 12. Pp. 47–53. </w:t>
      </w:r>
      <w:hyperlink r:id="rId10" w:history="1">
        <w:r w:rsidRPr="0068112D">
          <w:rPr>
            <w:rStyle w:val="af3"/>
            <w:sz w:val="24"/>
            <w:szCs w:val="24"/>
            <w:lang w:val="en-US"/>
          </w:rPr>
          <w:t>https://doi/10.36871/ek.up.p.r.2023.12.13.007</w:t>
        </w:r>
      </w:hyperlink>
    </w:p>
    <w:p w14:paraId="4B4148F6" w14:textId="77777777" w:rsidR="0068112D" w:rsidRPr="0068112D" w:rsidRDefault="0068112D" w:rsidP="0068112D">
      <w:pPr>
        <w:pStyle w:val="af"/>
        <w:numPr>
          <w:ilvl w:val="0"/>
          <w:numId w:val="12"/>
        </w:numPr>
        <w:spacing w:line="240" w:lineRule="auto"/>
        <w:ind w:left="714" w:hanging="357"/>
        <w:jc w:val="both"/>
        <w:rPr>
          <w:rFonts w:eastAsia="Times New Roman"/>
          <w:sz w:val="24"/>
          <w:szCs w:val="24"/>
          <w:lang w:val="ru-RU"/>
        </w:rPr>
      </w:pPr>
      <w:r w:rsidRPr="0068112D">
        <w:rPr>
          <w:rFonts w:eastAsia="Times New Roman"/>
          <w:sz w:val="24"/>
          <w:szCs w:val="24"/>
          <w:lang w:val="ru-RU"/>
        </w:rPr>
        <w:t>Kabanov A.A., Fedorov I.A. Architecture of the control system for digital dual production as the basis for managers of various models of their representations // Bulletin of the Ryazan State Radio Engineering University. 2023. No. 82. pp. 162-176.</w:t>
      </w:r>
    </w:p>
    <w:p w14:paraId="2298F1CA" w14:textId="77777777" w:rsidR="0068112D" w:rsidRPr="0068112D" w:rsidRDefault="0068112D" w:rsidP="0068112D">
      <w:pPr>
        <w:pStyle w:val="af"/>
        <w:numPr>
          <w:ilvl w:val="0"/>
          <w:numId w:val="12"/>
        </w:numPr>
        <w:spacing w:line="240" w:lineRule="auto"/>
        <w:ind w:left="714" w:hanging="357"/>
        <w:jc w:val="both"/>
        <w:rPr>
          <w:rFonts w:eastAsia="Times New Roman"/>
          <w:sz w:val="24"/>
          <w:szCs w:val="24"/>
          <w:lang w:val="ru-RU"/>
        </w:rPr>
      </w:pPr>
      <w:r w:rsidRPr="0068112D">
        <w:rPr>
          <w:rFonts w:eastAsia="Times New Roman"/>
          <w:sz w:val="24"/>
          <w:szCs w:val="24"/>
          <w:lang w:val="ru-RU"/>
        </w:rPr>
        <w:t>Medarov M. M. Venture capital investment in Russia problems and prospects. Ekonomika i upravlenie: problem resheniya. 2024. Vol. 5. No. 5. P. 275-281; https://doi.org/10.36871/ ek.up.p.r.2024.05.05.036</w:t>
      </w:r>
    </w:p>
    <w:p w14:paraId="6FD1041C" w14:textId="77777777" w:rsidR="0068112D" w:rsidRPr="0068112D" w:rsidRDefault="0068112D" w:rsidP="0068112D">
      <w:pPr>
        <w:pStyle w:val="af"/>
        <w:numPr>
          <w:ilvl w:val="0"/>
          <w:numId w:val="12"/>
        </w:numPr>
        <w:spacing w:line="240" w:lineRule="auto"/>
        <w:ind w:left="714" w:hanging="357"/>
        <w:jc w:val="both"/>
        <w:rPr>
          <w:rFonts w:eastAsia="Times New Roman"/>
          <w:sz w:val="24"/>
          <w:szCs w:val="24"/>
          <w:lang w:val="ru-RU"/>
        </w:rPr>
      </w:pPr>
      <w:r w:rsidRPr="0068112D">
        <w:rPr>
          <w:rFonts w:eastAsia="Times New Roman"/>
          <w:sz w:val="24"/>
          <w:szCs w:val="24"/>
          <w:lang w:val="ru-RU"/>
        </w:rPr>
        <w:t>Myslyaeva I.N. Promising financial instruments to support the space industry in Russia / I.N. Myslyaeva, T.K. Blokhina // “Space Economics”. – 2024. – No. 9. – P. 29-39. – DOI 10.48612/agat/space_economics/2024.03.09.04</w:t>
      </w:r>
    </w:p>
    <w:p w14:paraId="6E45F70E" w14:textId="77777777" w:rsidR="0068112D" w:rsidRPr="0068112D" w:rsidRDefault="0068112D" w:rsidP="0068112D">
      <w:pPr>
        <w:pStyle w:val="af"/>
        <w:numPr>
          <w:ilvl w:val="0"/>
          <w:numId w:val="12"/>
        </w:numPr>
        <w:spacing w:line="240" w:lineRule="auto"/>
        <w:ind w:left="714" w:hanging="357"/>
        <w:jc w:val="both"/>
        <w:rPr>
          <w:rFonts w:eastAsia="Times New Roman"/>
          <w:sz w:val="24"/>
          <w:szCs w:val="24"/>
          <w:lang w:val="en-US"/>
        </w:rPr>
      </w:pPr>
      <w:r w:rsidRPr="0068112D">
        <w:rPr>
          <w:rFonts w:eastAsia="Times New Roman"/>
          <w:sz w:val="24"/>
          <w:szCs w:val="24"/>
          <w:lang w:val="en-US"/>
        </w:rPr>
        <w:t>Myslyaeva I.N. Private cosmonautics in Russia: to be or not to be?: monograph. – Moscow: KURS, 2024. – 146 p.</w:t>
      </w:r>
    </w:p>
    <w:p w14:paraId="76E455DE" w14:textId="77777777" w:rsidR="0068112D" w:rsidRPr="0068112D" w:rsidRDefault="0068112D" w:rsidP="0068112D">
      <w:pPr>
        <w:pStyle w:val="af"/>
        <w:numPr>
          <w:ilvl w:val="0"/>
          <w:numId w:val="12"/>
        </w:numPr>
        <w:spacing w:line="240" w:lineRule="auto"/>
        <w:ind w:left="714" w:hanging="357"/>
        <w:jc w:val="both"/>
        <w:rPr>
          <w:sz w:val="24"/>
          <w:szCs w:val="24"/>
          <w:lang w:val="en-US"/>
        </w:rPr>
      </w:pPr>
      <w:r w:rsidRPr="0068112D">
        <w:rPr>
          <w:sz w:val="24"/>
          <w:szCs w:val="24"/>
          <w:lang w:val="en"/>
        </w:rPr>
        <w:t>Thamadokova I.Kh. Creation of market conditions and commercialization of satellite services in Russia: prerequisites and implementation mechanism / I.Kh. Thamadokova, M.V. Spasskaya, A.N. Ivkin // “Space Economics”. – 2024. – No. 10. – P. 4-11. – DOI 10.48612/agat/space_economics/2024.03.10.01</w:t>
      </w:r>
    </w:p>
    <w:p w14:paraId="42FB85B6" w14:textId="77777777" w:rsidR="004E0A95" w:rsidRPr="001E4BFA" w:rsidRDefault="004E0A95" w:rsidP="0002596B">
      <w:pPr>
        <w:pStyle w:val="Default"/>
        <w:rPr>
          <w:b/>
          <w:bCs/>
          <w:i/>
          <w:iCs/>
          <w:color w:val="auto"/>
          <w:sz w:val="28"/>
          <w:szCs w:val="28"/>
        </w:rPr>
      </w:pPr>
      <w:r w:rsidRPr="001E4BFA">
        <w:rPr>
          <w:b/>
          <w:bCs/>
          <w:i/>
          <w:iCs/>
          <w:color w:val="auto"/>
          <w:sz w:val="28"/>
          <w:szCs w:val="28"/>
        </w:rPr>
        <w:t xml:space="preserve">Информация об авторах </w:t>
      </w:r>
    </w:p>
    <w:p w14:paraId="464561F8" w14:textId="1DABB351" w:rsidR="004E0A95" w:rsidRPr="001E4BFA" w:rsidRDefault="00E54CD6" w:rsidP="00FB0A27">
      <w:pPr>
        <w:pStyle w:val="Default"/>
        <w:rPr>
          <w:color w:val="auto"/>
          <w:sz w:val="28"/>
          <w:szCs w:val="28"/>
        </w:rPr>
      </w:pPr>
      <w:r w:rsidRPr="001E4BFA">
        <w:rPr>
          <w:color w:val="auto"/>
          <w:sz w:val="28"/>
          <w:szCs w:val="28"/>
        </w:rPr>
        <w:t>А</w:t>
      </w:r>
      <w:r w:rsidR="004E0A95" w:rsidRPr="001E4BFA">
        <w:rPr>
          <w:color w:val="auto"/>
          <w:sz w:val="28"/>
          <w:szCs w:val="28"/>
        </w:rPr>
        <w:t xml:space="preserve">. </w:t>
      </w:r>
      <w:r w:rsidR="001237E7">
        <w:rPr>
          <w:color w:val="auto"/>
          <w:sz w:val="28"/>
          <w:szCs w:val="28"/>
        </w:rPr>
        <w:t>В</w:t>
      </w:r>
      <w:r w:rsidR="004E0A95" w:rsidRPr="001E4BFA">
        <w:rPr>
          <w:color w:val="auto"/>
          <w:sz w:val="28"/>
          <w:szCs w:val="28"/>
        </w:rPr>
        <w:t xml:space="preserve">. </w:t>
      </w:r>
      <w:r w:rsidR="001237E7">
        <w:rPr>
          <w:color w:val="auto"/>
          <w:sz w:val="28"/>
          <w:szCs w:val="28"/>
        </w:rPr>
        <w:t>Пилюгина</w:t>
      </w:r>
      <w:r w:rsidR="004E0A95" w:rsidRPr="001E4BFA">
        <w:rPr>
          <w:color w:val="auto"/>
          <w:sz w:val="28"/>
          <w:szCs w:val="28"/>
        </w:rPr>
        <w:t xml:space="preserve"> – </w:t>
      </w:r>
      <w:r w:rsidR="001237E7" w:rsidRPr="001237E7">
        <w:rPr>
          <w:color w:val="auto"/>
          <w:sz w:val="28"/>
          <w:szCs w:val="28"/>
        </w:rPr>
        <w:t>к.э.н., доцент, доцент кафедры</w:t>
      </w:r>
      <w:r w:rsidR="001237E7" w:rsidRPr="001E4BFA">
        <w:rPr>
          <w:color w:val="auto"/>
          <w:sz w:val="28"/>
          <w:szCs w:val="28"/>
        </w:rPr>
        <w:t xml:space="preserve"> </w:t>
      </w:r>
      <w:r w:rsidR="00785131" w:rsidRPr="001E4BFA">
        <w:rPr>
          <w:color w:val="auto"/>
          <w:sz w:val="28"/>
          <w:szCs w:val="28"/>
        </w:rPr>
        <w:t>кафедры ИБМ5 </w:t>
      </w:r>
      <w:r w:rsidR="00FB0A27" w:rsidRPr="001E4BFA">
        <w:rPr>
          <w:color w:val="auto"/>
          <w:sz w:val="28"/>
          <w:szCs w:val="28"/>
        </w:rPr>
        <w:t>«Финансы»</w:t>
      </w:r>
      <w:r w:rsidR="00785131" w:rsidRPr="001E4BFA">
        <w:rPr>
          <w:color w:val="auto"/>
          <w:sz w:val="28"/>
          <w:szCs w:val="28"/>
        </w:rPr>
        <w:t xml:space="preserve"> </w:t>
      </w:r>
      <w:r w:rsidR="00F97A5B" w:rsidRPr="001E4BFA">
        <w:rPr>
          <w:color w:val="auto"/>
          <w:sz w:val="28"/>
          <w:szCs w:val="28"/>
        </w:rPr>
        <w:t>МГТУ им. Н.Э. Баумана</w:t>
      </w:r>
    </w:p>
    <w:p w14:paraId="31A1F1D7" w14:textId="77777777" w:rsidR="00F97A5B" w:rsidRPr="001E4BFA" w:rsidRDefault="00F97A5B" w:rsidP="004E0A95">
      <w:pPr>
        <w:pStyle w:val="Default"/>
        <w:rPr>
          <w:color w:val="auto"/>
          <w:sz w:val="28"/>
          <w:szCs w:val="28"/>
          <w:lang w:val="en-US"/>
        </w:rPr>
      </w:pPr>
    </w:p>
    <w:p w14:paraId="2F87641B" w14:textId="33B81A96" w:rsidR="004E0A95" w:rsidRPr="001E4BFA" w:rsidRDefault="004E0A95" w:rsidP="004E0A95">
      <w:pPr>
        <w:pStyle w:val="Default"/>
        <w:rPr>
          <w:color w:val="auto"/>
          <w:sz w:val="28"/>
          <w:szCs w:val="28"/>
          <w:lang w:val="en-US"/>
        </w:rPr>
      </w:pPr>
    </w:p>
    <w:p w14:paraId="78182FE7" w14:textId="77777777" w:rsidR="004E0A95" w:rsidRPr="001E4BFA" w:rsidRDefault="004E0A95" w:rsidP="0002596B">
      <w:pPr>
        <w:pStyle w:val="Default"/>
        <w:rPr>
          <w:b/>
          <w:bCs/>
          <w:i/>
          <w:iCs/>
          <w:color w:val="auto"/>
          <w:sz w:val="28"/>
          <w:szCs w:val="28"/>
          <w:lang w:val="en-US"/>
        </w:rPr>
      </w:pPr>
      <w:r w:rsidRPr="001E4BFA">
        <w:rPr>
          <w:b/>
          <w:bCs/>
          <w:i/>
          <w:iCs/>
          <w:color w:val="auto"/>
          <w:sz w:val="28"/>
          <w:szCs w:val="28"/>
          <w:lang w:val="en-US"/>
        </w:rPr>
        <w:t xml:space="preserve">Information about the authors </w:t>
      </w:r>
    </w:p>
    <w:p w14:paraId="19CB2EFF" w14:textId="0ABE34A3" w:rsidR="004E0A95" w:rsidRPr="001237E7" w:rsidRDefault="001237E7" w:rsidP="004E0A95">
      <w:pPr>
        <w:pStyle w:val="Default"/>
        <w:rPr>
          <w:color w:val="auto"/>
          <w:sz w:val="28"/>
          <w:szCs w:val="28"/>
        </w:rPr>
      </w:pPr>
      <w:r w:rsidRPr="001237E7">
        <w:rPr>
          <w:color w:val="auto"/>
          <w:sz w:val="28"/>
          <w:szCs w:val="28"/>
          <w:lang w:val="en-US"/>
        </w:rPr>
        <w:t>A.V. Pilyugina– Candidate of Sciences (Economy), Associate Professor</w:t>
      </w:r>
      <w:r w:rsidR="00F97A5B" w:rsidRPr="001E4BFA">
        <w:rPr>
          <w:color w:val="auto"/>
          <w:sz w:val="28"/>
          <w:szCs w:val="28"/>
          <w:lang w:val="en-US"/>
        </w:rPr>
        <w:t>, Department of EBM5 "Finance"</w:t>
      </w:r>
      <w:r w:rsidR="006D182C" w:rsidRPr="001E4BFA">
        <w:rPr>
          <w:color w:val="auto"/>
          <w:sz w:val="28"/>
          <w:szCs w:val="28"/>
          <w:lang w:val="en-US"/>
        </w:rPr>
        <w:t>,</w:t>
      </w:r>
      <w:r w:rsidR="00F97A5B" w:rsidRPr="001E4BFA">
        <w:rPr>
          <w:color w:val="auto"/>
          <w:sz w:val="28"/>
          <w:szCs w:val="28"/>
          <w:lang w:val="en-US"/>
        </w:rPr>
        <w:t xml:space="preserve"> Bauman Moscow State Technical University, Moscow, Russia  </w:t>
      </w:r>
    </w:p>
    <w:sectPr w:rsidR="004E0A95" w:rsidRPr="001237E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89034" w14:textId="77777777" w:rsidR="005C33FF" w:rsidRDefault="005C33FF">
      <w:pPr>
        <w:spacing w:line="240" w:lineRule="auto"/>
      </w:pPr>
      <w:r>
        <w:separator/>
      </w:r>
    </w:p>
  </w:endnote>
  <w:endnote w:type="continuationSeparator" w:id="0">
    <w:p w14:paraId="279B522B" w14:textId="77777777" w:rsidR="005C33FF" w:rsidRDefault="005C33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ECC99" w14:textId="77777777" w:rsidR="005C33FF" w:rsidRDefault="005C33FF">
      <w:pPr>
        <w:spacing w:line="240" w:lineRule="auto"/>
      </w:pPr>
      <w:r>
        <w:separator/>
      </w:r>
    </w:p>
  </w:footnote>
  <w:footnote w:type="continuationSeparator" w:id="0">
    <w:p w14:paraId="6D6F0F12" w14:textId="77777777" w:rsidR="005C33FF" w:rsidRDefault="005C33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6277"/>
    <w:multiLevelType w:val="hybridMultilevel"/>
    <w:tmpl w:val="898E91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822BE5"/>
    <w:multiLevelType w:val="multilevel"/>
    <w:tmpl w:val="7D1402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5A76259"/>
    <w:multiLevelType w:val="multilevel"/>
    <w:tmpl w:val="361E6A7E"/>
    <w:lvl w:ilvl="0">
      <w:start w:val="1"/>
      <w:numFmt w:val="bullet"/>
      <w:lvlText w:val=""/>
      <w:lvlJc w:val="left"/>
      <w:pPr>
        <w:ind w:left="720" w:hanging="360"/>
      </w:pPr>
      <w:rPr>
        <w:rFonts w:ascii="Symbol" w:hAnsi="Symbol" w:hint="default"/>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545C33"/>
    <w:multiLevelType w:val="multilevel"/>
    <w:tmpl w:val="B2226B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6D872B8"/>
    <w:multiLevelType w:val="multilevel"/>
    <w:tmpl w:val="B2EA5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E33093B"/>
    <w:multiLevelType w:val="multilevel"/>
    <w:tmpl w:val="9274CE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8440401"/>
    <w:multiLevelType w:val="multilevel"/>
    <w:tmpl w:val="ADFE7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CA90C9C"/>
    <w:multiLevelType w:val="multilevel"/>
    <w:tmpl w:val="EBCCA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8418FC"/>
    <w:multiLevelType w:val="multilevel"/>
    <w:tmpl w:val="64489C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41E27B3"/>
    <w:multiLevelType w:val="multilevel"/>
    <w:tmpl w:val="941C72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5A65E79"/>
    <w:multiLevelType w:val="multilevel"/>
    <w:tmpl w:val="10D883FE"/>
    <w:lvl w:ilvl="0">
      <w:start w:val="1"/>
      <w:numFmt w:val="decimal"/>
      <w:lvlText w:val="%1."/>
      <w:lvlJc w:val="left"/>
      <w:pPr>
        <w:ind w:left="10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7E57914"/>
    <w:multiLevelType w:val="multilevel"/>
    <w:tmpl w:val="943E92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227176A"/>
    <w:multiLevelType w:val="multilevel"/>
    <w:tmpl w:val="FD3A4E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FA079A1"/>
    <w:multiLevelType w:val="multilevel"/>
    <w:tmpl w:val="C88E8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9028156">
    <w:abstractNumId w:val="13"/>
  </w:num>
  <w:num w:numId="2" w16cid:durableId="96022013">
    <w:abstractNumId w:val="1"/>
  </w:num>
  <w:num w:numId="3" w16cid:durableId="1647396294">
    <w:abstractNumId w:val="8"/>
  </w:num>
  <w:num w:numId="4" w16cid:durableId="543903600">
    <w:abstractNumId w:val="7"/>
  </w:num>
  <w:num w:numId="5" w16cid:durableId="1622420233">
    <w:abstractNumId w:val="6"/>
  </w:num>
  <w:num w:numId="6" w16cid:durableId="1789154212">
    <w:abstractNumId w:val="9"/>
  </w:num>
  <w:num w:numId="7" w16cid:durableId="1384983728">
    <w:abstractNumId w:val="2"/>
  </w:num>
  <w:num w:numId="8" w16cid:durableId="996763055">
    <w:abstractNumId w:val="12"/>
  </w:num>
  <w:num w:numId="9" w16cid:durableId="1823696426">
    <w:abstractNumId w:val="11"/>
  </w:num>
  <w:num w:numId="10" w16cid:durableId="319701338">
    <w:abstractNumId w:val="5"/>
  </w:num>
  <w:num w:numId="11" w16cid:durableId="1620530789">
    <w:abstractNumId w:val="4"/>
  </w:num>
  <w:num w:numId="12" w16cid:durableId="1114982316">
    <w:abstractNumId w:val="10"/>
  </w:num>
  <w:num w:numId="13" w16cid:durableId="2135563387">
    <w:abstractNumId w:val="0"/>
  </w:num>
  <w:num w:numId="14" w16cid:durableId="1107314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9B3"/>
    <w:rsid w:val="000005D4"/>
    <w:rsid w:val="00002B91"/>
    <w:rsid w:val="000153EC"/>
    <w:rsid w:val="000175A2"/>
    <w:rsid w:val="0002596B"/>
    <w:rsid w:val="00031D21"/>
    <w:rsid w:val="0004641D"/>
    <w:rsid w:val="00054C88"/>
    <w:rsid w:val="00057C0D"/>
    <w:rsid w:val="00057C3C"/>
    <w:rsid w:val="00074D1C"/>
    <w:rsid w:val="00091CC9"/>
    <w:rsid w:val="000A423D"/>
    <w:rsid w:val="000B048A"/>
    <w:rsid w:val="000B7AC1"/>
    <w:rsid w:val="000C40B7"/>
    <w:rsid w:val="000C73D8"/>
    <w:rsid w:val="000E459F"/>
    <w:rsid w:val="000F757E"/>
    <w:rsid w:val="0010059D"/>
    <w:rsid w:val="00102BCE"/>
    <w:rsid w:val="001237E7"/>
    <w:rsid w:val="00143E49"/>
    <w:rsid w:val="00144D8A"/>
    <w:rsid w:val="00154E4F"/>
    <w:rsid w:val="0016224A"/>
    <w:rsid w:val="001651A5"/>
    <w:rsid w:val="001845D2"/>
    <w:rsid w:val="00187D3C"/>
    <w:rsid w:val="00195C9F"/>
    <w:rsid w:val="001B3667"/>
    <w:rsid w:val="001C2843"/>
    <w:rsid w:val="001C2F3B"/>
    <w:rsid w:val="001C3285"/>
    <w:rsid w:val="001E4BFA"/>
    <w:rsid w:val="001F2108"/>
    <w:rsid w:val="00203CC7"/>
    <w:rsid w:val="00213081"/>
    <w:rsid w:val="00221733"/>
    <w:rsid w:val="0022681E"/>
    <w:rsid w:val="00231A47"/>
    <w:rsid w:val="00236FC8"/>
    <w:rsid w:val="00237AB0"/>
    <w:rsid w:val="002461AB"/>
    <w:rsid w:val="00250E1A"/>
    <w:rsid w:val="00250EB3"/>
    <w:rsid w:val="0027115E"/>
    <w:rsid w:val="00271EAF"/>
    <w:rsid w:val="00282462"/>
    <w:rsid w:val="002A3026"/>
    <w:rsid w:val="002A78D2"/>
    <w:rsid w:val="002B17F2"/>
    <w:rsid w:val="002B323B"/>
    <w:rsid w:val="002C16B2"/>
    <w:rsid w:val="002C6807"/>
    <w:rsid w:val="002C70B9"/>
    <w:rsid w:val="002F2D9A"/>
    <w:rsid w:val="0030455B"/>
    <w:rsid w:val="0030566B"/>
    <w:rsid w:val="003160BD"/>
    <w:rsid w:val="003434F0"/>
    <w:rsid w:val="003471CC"/>
    <w:rsid w:val="0035442E"/>
    <w:rsid w:val="00355848"/>
    <w:rsid w:val="00360998"/>
    <w:rsid w:val="003619C2"/>
    <w:rsid w:val="0036311F"/>
    <w:rsid w:val="00366DED"/>
    <w:rsid w:val="003839E6"/>
    <w:rsid w:val="0039229E"/>
    <w:rsid w:val="003952C3"/>
    <w:rsid w:val="003965B9"/>
    <w:rsid w:val="003A6F1C"/>
    <w:rsid w:val="003B2935"/>
    <w:rsid w:val="003B3895"/>
    <w:rsid w:val="003D1E2B"/>
    <w:rsid w:val="003D542D"/>
    <w:rsid w:val="003D59B3"/>
    <w:rsid w:val="003E0DF8"/>
    <w:rsid w:val="003E2EE3"/>
    <w:rsid w:val="003F02E3"/>
    <w:rsid w:val="003F1181"/>
    <w:rsid w:val="004007BE"/>
    <w:rsid w:val="00405FBB"/>
    <w:rsid w:val="0041648B"/>
    <w:rsid w:val="00446027"/>
    <w:rsid w:val="00451C5C"/>
    <w:rsid w:val="00453775"/>
    <w:rsid w:val="0046332D"/>
    <w:rsid w:val="004654E1"/>
    <w:rsid w:val="00470246"/>
    <w:rsid w:val="004807FF"/>
    <w:rsid w:val="00496BAC"/>
    <w:rsid w:val="004A1371"/>
    <w:rsid w:val="004A424F"/>
    <w:rsid w:val="004B04D6"/>
    <w:rsid w:val="004D2C2F"/>
    <w:rsid w:val="004D51C6"/>
    <w:rsid w:val="004E0A95"/>
    <w:rsid w:val="004E31C9"/>
    <w:rsid w:val="004F4944"/>
    <w:rsid w:val="004F50DF"/>
    <w:rsid w:val="00502AB9"/>
    <w:rsid w:val="00505AD1"/>
    <w:rsid w:val="005102E2"/>
    <w:rsid w:val="00517B99"/>
    <w:rsid w:val="00531327"/>
    <w:rsid w:val="00534873"/>
    <w:rsid w:val="00553F60"/>
    <w:rsid w:val="0056228A"/>
    <w:rsid w:val="00562864"/>
    <w:rsid w:val="005719E5"/>
    <w:rsid w:val="005816B9"/>
    <w:rsid w:val="0058274A"/>
    <w:rsid w:val="005860F4"/>
    <w:rsid w:val="005B3395"/>
    <w:rsid w:val="005B7B85"/>
    <w:rsid w:val="005C33FF"/>
    <w:rsid w:val="005D1853"/>
    <w:rsid w:val="005D50D4"/>
    <w:rsid w:val="005F6DEF"/>
    <w:rsid w:val="006134D9"/>
    <w:rsid w:val="00625A3D"/>
    <w:rsid w:val="00631EC8"/>
    <w:rsid w:val="006348C5"/>
    <w:rsid w:val="006401BE"/>
    <w:rsid w:val="00646437"/>
    <w:rsid w:val="0066057E"/>
    <w:rsid w:val="006614F6"/>
    <w:rsid w:val="00662541"/>
    <w:rsid w:val="00666EB5"/>
    <w:rsid w:val="0068112D"/>
    <w:rsid w:val="0068143B"/>
    <w:rsid w:val="00694C19"/>
    <w:rsid w:val="006A1711"/>
    <w:rsid w:val="006B5B90"/>
    <w:rsid w:val="006C0457"/>
    <w:rsid w:val="006D182C"/>
    <w:rsid w:val="006D6428"/>
    <w:rsid w:val="006D719E"/>
    <w:rsid w:val="006E3164"/>
    <w:rsid w:val="006E3C69"/>
    <w:rsid w:val="006E6889"/>
    <w:rsid w:val="006F402A"/>
    <w:rsid w:val="0070137D"/>
    <w:rsid w:val="00706779"/>
    <w:rsid w:val="007102E2"/>
    <w:rsid w:val="00713210"/>
    <w:rsid w:val="00713820"/>
    <w:rsid w:val="00714F0A"/>
    <w:rsid w:val="00735659"/>
    <w:rsid w:val="00750294"/>
    <w:rsid w:val="0076477D"/>
    <w:rsid w:val="0076607A"/>
    <w:rsid w:val="007718C3"/>
    <w:rsid w:val="00773709"/>
    <w:rsid w:val="007752D6"/>
    <w:rsid w:val="00775943"/>
    <w:rsid w:val="007805DC"/>
    <w:rsid w:val="007812F8"/>
    <w:rsid w:val="0078171C"/>
    <w:rsid w:val="00785131"/>
    <w:rsid w:val="007A1463"/>
    <w:rsid w:val="007A5FD0"/>
    <w:rsid w:val="007B4DB6"/>
    <w:rsid w:val="007C602E"/>
    <w:rsid w:val="007C65E4"/>
    <w:rsid w:val="007D7DDC"/>
    <w:rsid w:val="007E296F"/>
    <w:rsid w:val="007F03E7"/>
    <w:rsid w:val="00804547"/>
    <w:rsid w:val="00804BEB"/>
    <w:rsid w:val="00811BC5"/>
    <w:rsid w:val="008150FE"/>
    <w:rsid w:val="008268EA"/>
    <w:rsid w:val="0083657E"/>
    <w:rsid w:val="00844984"/>
    <w:rsid w:val="008507EF"/>
    <w:rsid w:val="00853475"/>
    <w:rsid w:val="0086532E"/>
    <w:rsid w:val="0087029A"/>
    <w:rsid w:val="00887E60"/>
    <w:rsid w:val="00893F49"/>
    <w:rsid w:val="00896730"/>
    <w:rsid w:val="008A0065"/>
    <w:rsid w:val="008A1234"/>
    <w:rsid w:val="008A411B"/>
    <w:rsid w:val="008A62AC"/>
    <w:rsid w:val="008B0915"/>
    <w:rsid w:val="008B2A05"/>
    <w:rsid w:val="008D2C6C"/>
    <w:rsid w:val="008D4722"/>
    <w:rsid w:val="008D6B14"/>
    <w:rsid w:val="008E32CB"/>
    <w:rsid w:val="008F5C77"/>
    <w:rsid w:val="008F5D71"/>
    <w:rsid w:val="008F6652"/>
    <w:rsid w:val="00905784"/>
    <w:rsid w:val="0090622E"/>
    <w:rsid w:val="00910259"/>
    <w:rsid w:val="00922D15"/>
    <w:rsid w:val="00932EA2"/>
    <w:rsid w:val="00943D76"/>
    <w:rsid w:val="0094523D"/>
    <w:rsid w:val="009531EC"/>
    <w:rsid w:val="00962AFD"/>
    <w:rsid w:val="00964616"/>
    <w:rsid w:val="0096517A"/>
    <w:rsid w:val="0096621A"/>
    <w:rsid w:val="00980254"/>
    <w:rsid w:val="00983A21"/>
    <w:rsid w:val="009912AD"/>
    <w:rsid w:val="009A47FE"/>
    <w:rsid w:val="009B0CC6"/>
    <w:rsid w:val="009C555B"/>
    <w:rsid w:val="009D1863"/>
    <w:rsid w:val="009D292C"/>
    <w:rsid w:val="009E423C"/>
    <w:rsid w:val="009F6BB7"/>
    <w:rsid w:val="00A034A0"/>
    <w:rsid w:val="00A060F5"/>
    <w:rsid w:val="00A164DB"/>
    <w:rsid w:val="00A22C9A"/>
    <w:rsid w:val="00A328BB"/>
    <w:rsid w:val="00A44A06"/>
    <w:rsid w:val="00A44F57"/>
    <w:rsid w:val="00A661AE"/>
    <w:rsid w:val="00A721AD"/>
    <w:rsid w:val="00A818AE"/>
    <w:rsid w:val="00A87AB1"/>
    <w:rsid w:val="00A919CE"/>
    <w:rsid w:val="00A94414"/>
    <w:rsid w:val="00AA1552"/>
    <w:rsid w:val="00AC245D"/>
    <w:rsid w:val="00AC36CB"/>
    <w:rsid w:val="00AC3E28"/>
    <w:rsid w:val="00AD116E"/>
    <w:rsid w:val="00AD67F3"/>
    <w:rsid w:val="00AE3C84"/>
    <w:rsid w:val="00B0075D"/>
    <w:rsid w:val="00B046D0"/>
    <w:rsid w:val="00B07987"/>
    <w:rsid w:val="00B07C28"/>
    <w:rsid w:val="00B10DC3"/>
    <w:rsid w:val="00B16B42"/>
    <w:rsid w:val="00B22868"/>
    <w:rsid w:val="00B2303E"/>
    <w:rsid w:val="00B30794"/>
    <w:rsid w:val="00B32A94"/>
    <w:rsid w:val="00B36088"/>
    <w:rsid w:val="00B371D1"/>
    <w:rsid w:val="00B4045D"/>
    <w:rsid w:val="00B573CB"/>
    <w:rsid w:val="00B674F0"/>
    <w:rsid w:val="00B77603"/>
    <w:rsid w:val="00B9057D"/>
    <w:rsid w:val="00B94F81"/>
    <w:rsid w:val="00BA70D1"/>
    <w:rsid w:val="00BB064F"/>
    <w:rsid w:val="00BC7575"/>
    <w:rsid w:val="00BD2C4B"/>
    <w:rsid w:val="00BD47BB"/>
    <w:rsid w:val="00BE40A0"/>
    <w:rsid w:val="00BE7230"/>
    <w:rsid w:val="00C007D5"/>
    <w:rsid w:val="00C01745"/>
    <w:rsid w:val="00C04E28"/>
    <w:rsid w:val="00C0516D"/>
    <w:rsid w:val="00C155C1"/>
    <w:rsid w:val="00C31A95"/>
    <w:rsid w:val="00C410F1"/>
    <w:rsid w:val="00C44A16"/>
    <w:rsid w:val="00C47300"/>
    <w:rsid w:val="00C610A3"/>
    <w:rsid w:val="00C64D8F"/>
    <w:rsid w:val="00C6752A"/>
    <w:rsid w:val="00C96575"/>
    <w:rsid w:val="00CA71E0"/>
    <w:rsid w:val="00CE3294"/>
    <w:rsid w:val="00CF1D10"/>
    <w:rsid w:val="00CF5745"/>
    <w:rsid w:val="00D12301"/>
    <w:rsid w:val="00D1443C"/>
    <w:rsid w:val="00D150FB"/>
    <w:rsid w:val="00D16955"/>
    <w:rsid w:val="00D24EBA"/>
    <w:rsid w:val="00D33219"/>
    <w:rsid w:val="00D33587"/>
    <w:rsid w:val="00D4160F"/>
    <w:rsid w:val="00D43628"/>
    <w:rsid w:val="00D46F31"/>
    <w:rsid w:val="00D578E5"/>
    <w:rsid w:val="00D64C33"/>
    <w:rsid w:val="00D65D64"/>
    <w:rsid w:val="00D8632F"/>
    <w:rsid w:val="00D86CE7"/>
    <w:rsid w:val="00D94D2B"/>
    <w:rsid w:val="00DC620A"/>
    <w:rsid w:val="00DD2825"/>
    <w:rsid w:val="00DD6C99"/>
    <w:rsid w:val="00DF2FA0"/>
    <w:rsid w:val="00DF6E96"/>
    <w:rsid w:val="00DF6EBD"/>
    <w:rsid w:val="00E00FDD"/>
    <w:rsid w:val="00E2059A"/>
    <w:rsid w:val="00E311D2"/>
    <w:rsid w:val="00E3654F"/>
    <w:rsid w:val="00E36914"/>
    <w:rsid w:val="00E411AA"/>
    <w:rsid w:val="00E42E42"/>
    <w:rsid w:val="00E42E54"/>
    <w:rsid w:val="00E4337B"/>
    <w:rsid w:val="00E52407"/>
    <w:rsid w:val="00E54CD6"/>
    <w:rsid w:val="00E62B62"/>
    <w:rsid w:val="00E813ED"/>
    <w:rsid w:val="00E81896"/>
    <w:rsid w:val="00E92D83"/>
    <w:rsid w:val="00E95371"/>
    <w:rsid w:val="00EB66D8"/>
    <w:rsid w:val="00EC55BC"/>
    <w:rsid w:val="00EC7568"/>
    <w:rsid w:val="00ED0DF1"/>
    <w:rsid w:val="00ED4087"/>
    <w:rsid w:val="00F01A94"/>
    <w:rsid w:val="00F049A7"/>
    <w:rsid w:val="00F141B1"/>
    <w:rsid w:val="00F24A16"/>
    <w:rsid w:val="00F260CF"/>
    <w:rsid w:val="00F26B2A"/>
    <w:rsid w:val="00F26DCA"/>
    <w:rsid w:val="00F47536"/>
    <w:rsid w:val="00F53329"/>
    <w:rsid w:val="00F62490"/>
    <w:rsid w:val="00F847CE"/>
    <w:rsid w:val="00F86BD7"/>
    <w:rsid w:val="00F97A5B"/>
    <w:rsid w:val="00FA0CEA"/>
    <w:rsid w:val="00FB0A27"/>
    <w:rsid w:val="00FB16B2"/>
    <w:rsid w:val="00FC1D74"/>
    <w:rsid w:val="00FC3C7C"/>
    <w:rsid w:val="00FD2A74"/>
    <w:rsid w:val="00FE3989"/>
    <w:rsid w:val="00FF5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2506"/>
  <w15:docId w15:val="{B74F5A31-E650-444F-AB2C-D35E8225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line="360" w:lineRule="auto"/>
      <w:ind w:left="1780" w:hanging="360"/>
      <w:jc w:val="center"/>
    </w:pPr>
    <w:rPr>
      <w:rFonts w:ascii="Times New Roman" w:eastAsia="Times New Roman" w:hAnsi="Times New Roman" w:cs="Times New Roman"/>
      <w:b/>
      <w:sz w:val="28"/>
      <w:szCs w:val="28"/>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annotation text"/>
    <w:basedOn w:val="a"/>
    <w:link w:val="a8"/>
    <w:uiPriority w:val="99"/>
    <w:semiHidden/>
    <w:unhideWhenUsed/>
    <w:pPr>
      <w:spacing w:line="240" w:lineRule="auto"/>
    </w:pPr>
    <w:rPr>
      <w:sz w:val="20"/>
      <w:szCs w:val="20"/>
    </w:rPr>
  </w:style>
  <w:style w:type="character" w:customStyle="1" w:styleId="a8">
    <w:name w:val="Текст примечания Знак"/>
    <w:basedOn w:val="a0"/>
    <w:link w:val="a7"/>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uiPriority w:val="99"/>
    <w:semiHidden/>
    <w:unhideWhenUsed/>
    <w:rsid w:val="003839E6"/>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839E6"/>
    <w:rPr>
      <w:rFonts w:ascii="Segoe UI" w:hAnsi="Segoe UI" w:cs="Segoe UI"/>
      <w:sz w:val="18"/>
      <w:szCs w:val="18"/>
    </w:rPr>
  </w:style>
  <w:style w:type="paragraph" w:styleId="ac">
    <w:name w:val="annotation subject"/>
    <w:basedOn w:val="a7"/>
    <w:next w:val="a7"/>
    <w:link w:val="ad"/>
    <w:uiPriority w:val="99"/>
    <w:semiHidden/>
    <w:unhideWhenUsed/>
    <w:rsid w:val="00453775"/>
    <w:rPr>
      <w:b/>
      <w:bCs/>
    </w:rPr>
  </w:style>
  <w:style w:type="character" w:customStyle="1" w:styleId="ad">
    <w:name w:val="Тема примечания Знак"/>
    <w:basedOn w:val="a8"/>
    <w:link w:val="ac"/>
    <w:uiPriority w:val="99"/>
    <w:semiHidden/>
    <w:rsid w:val="00453775"/>
    <w:rPr>
      <w:b/>
      <w:bCs/>
      <w:sz w:val="20"/>
      <w:szCs w:val="20"/>
    </w:rPr>
  </w:style>
  <w:style w:type="table" w:styleId="ae">
    <w:name w:val="Table Grid"/>
    <w:basedOn w:val="a1"/>
    <w:uiPriority w:val="39"/>
    <w:rsid w:val="00CF1D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54E4F"/>
    <w:pPr>
      <w:ind w:left="720"/>
      <w:contextualSpacing/>
    </w:pPr>
  </w:style>
  <w:style w:type="paragraph" w:styleId="af0">
    <w:name w:val="footnote text"/>
    <w:basedOn w:val="a"/>
    <w:link w:val="af1"/>
    <w:uiPriority w:val="99"/>
    <w:semiHidden/>
    <w:unhideWhenUsed/>
    <w:rsid w:val="007812F8"/>
    <w:pPr>
      <w:spacing w:line="240" w:lineRule="auto"/>
    </w:pPr>
    <w:rPr>
      <w:sz w:val="20"/>
      <w:szCs w:val="20"/>
    </w:rPr>
  </w:style>
  <w:style w:type="character" w:customStyle="1" w:styleId="af1">
    <w:name w:val="Текст сноски Знак"/>
    <w:basedOn w:val="a0"/>
    <w:link w:val="af0"/>
    <w:uiPriority w:val="99"/>
    <w:semiHidden/>
    <w:rsid w:val="007812F8"/>
    <w:rPr>
      <w:sz w:val="20"/>
      <w:szCs w:val="20"/>
    </w:rPr>
  </w:style>
  <w:style w:type="character" w:styleId="af2">
    <w:name w:val="footnote reference"/>
    <w:basedOn w:val="a0"/>
    <w:uiPriority w:val="99"/>
    <w:semiHidden/>
    <w:unhideWhenUsed/>
    <w:rsid w:val="007812F8"/>
    <w:rPr>
      <w:vertAlign w:val="superscript"/>
    </w:rPr>
  </w:style>
  <w:style w:type="character" w:styleId="af3">
    <w:name w:val="Hyperlink"/>
    <w:basedOn w:val="a0"/>
    <w:uiPriority w:val="99"/>
    <w:unhideWhenUsed/>
    <w:rsid w:val="00057C0D"/>
    <w:rPr>
      <w:color w:val="0000FF" w:themeColor="hyperlink"/>
      <w:u w:val="single"/>
    </w:rPr>
  </w:style>
  <w:style w:type="character" w:customStyle="1" w:styleId="10">
    <w:name w:val="Неразрешенное упоминание1"/>
    <w:basedOn w:val="a0"/>
    <w:uiPriority w:val="99"/>
    <w:semiHidden/>
    <w:unhideWhenUsed/>
    <w:rsid w:val="00057C0D"/>
    <w:rPr>
      <w:color w:val="605E5C"/>
      <w:shd w:val="clear" w:color="auto" w:fill="E1DFDD"/>
    </w:rPr>
  </w:style>
  <w:style w:type="paragraph" w:styleId="af4">
    <w:name w:val="header"/>
    <w:basedOn w:val="a"/>
    <w:link w:val="af5"/>
    <w:uiPriority w:val="99"/>
    <w:unhideWhenUsed/>
    <w:rsid w:val="0070137D"/>
    <w:pPr>
      <w:tabs>
        <w:tab w:val="center" w:pos="4677"/>
        <w:tab w:val="right" w:pos="9355"/>
      </w:tabs>
      <w:spacing w:line="240" w:lineRule="auto"/>
    </w:pPr>
  </w:style>
  <w:style w:type="character" w:customStyle="1" w:styleId="af5">
    <w:name w:val="Верхний колонтитул Знак"/>
    <w:basedOn w:val="a0"/>
    <w:link w:val="af4"/>
    <w:uiPriority w:val="99"/>
    <w:rsid w:val="0070137D"/>
  </w:style>
  <w:style w:type="paragraph" w:styleId="af6">
    <w:name w:val="footer"/>
    <w:basedOn w:val="a"/>
    <w:link w:val="af7"/>
    <w:uiPriority w:val="99"/>
    <w:unhideWhenUsed/>
    <w:rsid w:val="0070137D"/>
    <w:pPr>
      <w:tabs>
        <w:tab w:val="center" w:pos="4677"/>
        <w:tab w:val="right" w:pos="9355"/>
      </w:tabs>
      <w:spacing w:line="240" w:lineRule="auto"/>
    </w:pPr>
  </w:style>
  <w:style w:type="character" w:customStyle="1" w:styleId="af7">
    <w:name w:val="Нижний колонтитул Знак"/>
    <w:basedOn w:val="a0"/>
    <w:link w:val="af6"/>
    <w:uiPriority w:val="99"/>
    <w:rsid w:val="0070137D"/>
  </w:style>
  <w:style w:type="paragraph" w:customStyle="1" w:styleId="af8">
    <w:name w:val="Текст таблицы"/>
    <w:basedOn w:val="a"/>
    <w:qFormat/>
    <w:rsid w:val="008F5D71"/>
    <w:pPr>
      <w:spacing w:line="240" w:lineRule="auto"/>
    </w:pPr>
    <w:rPr>
      <w:rFonts w:ascii="Times New Roman" w:eastAsia="Times New Roman" w:hAnsi="Times New Roman" w:cs="Times New Roman"/>
      <w:bCs/>
      <w:sz w:val="28"/>
      <w:szCs w:val="28"/>
    </w:rPr>
  </w:style>
  <w:style w:type="character" w:styleId="af9">
    <w:name w:val="Placeholder Text"/>
    <w:basedOn w:val="a0"/>
    <w:uiPriority w:val="99"/>
    <w:semiHidden/>
    <w:rsid w:val="00221733"/>
    <w:rPr>
      <w:color w:val="808080"/>
    </w:rPr>
  </w:style>
  <w:style w:type="character" w:customStyle="1" w:styleId="ezkurwreuab5ozgtqnkl">
    <w:name w:val="ezkurwreuab5ozgtqnkl"/>
    <w:basedOn w:val="a0"/>
    <w:rsid w:val="009D292C"/>
  </w:style>
  <w:style w:type="paragraph" w:customStyle="1" w:styleId="afa">
    <w:name w:val="Название таблицы"/>
    <w:basedOn w:val="a"/>
    <w:qFormat/>
    <w:rsid w:val="008B2A05"/>
    <w:pPr>
      <w:spacing w:before="220" w:after="40" w:line="240" w:lineRule="auto"/>
      <w:jc w:val="both"/>
    </w:pPr>
    <w:rPr>
      <w:rFonts w:ascii="Times New Roman" w:eastAsia="Times New Roman" w:hAnsi="Times New Roman" w:cs="Times New Roman"/>
      <w:sz w:val="28"/>
      <w:szCs w:val="28"/>
    </w:rPr>
  </w:style>
  <w:style w:type="paragraph" w:customStyle="1" w:styleId="Default">
    <w:name w:val="Default"/>
    <w:rsid w:val="004E0A95"/>
    <w:pPr>
      <w:autoSpaceDE w:val="0"/>
      <w:autoSpaceDN w:val="0"/>
      <w:adjustRightInd w:val="0"/>
      <w:spacing w:line="240" w:lineRule="auto"/>
    </w:pPr>
    <w:rPr>
      <w:rFonts w:eastAsiaTheme="minorHAnsi"/>
      <w:color w:val="000000"/>
      <w:sz w:val="24"/>
      <w:szCs w:val="24"/>
      <w:lang w:val="ru-RU" w:eastAsia="en-US"/>
    </w:rPr>
  </w:style>
  <w:style w:type="character" w:styleId="afb">
    <w:name w:val="Unresolved Mention"/>
    <w:basedOn w:val="a0"/>
    <w:uiPriority w:val="99"/>
    <w:semiHidden/>
    <w:unhideWhenUsed/>
    <w:rsid w:val="0027115E"/>
    <w:rPr>
      <w:color w:val="605E5C"/>
      <w:shd w:val="clear" w:color="auto" w:fill="E1DFDD"/>
    </w:rPr>
  </w:style>
  <w:style w:type="character" w:customStyle="1" w:styleId="Hyperlink0">
    <w:name w:val="Hyperlink.0"/>
    <w:basedOn w:val="a0"/>
    <w:rsid w:val="0068112D"/>
    <w:rPr>
      <w:rFonts w:ascii="Times New Roman" w:eastAsia="Times New Roman" w:hAnsi="Times New Roman" w:cs="Times New Roman" w:hint="default"/>
      <w:outline w:val="0"/>
      <w:shadow w:val="0"/>
      <w:emboss w:val="0"/>
      <w:imprint w:val="0"/>
      <w:color w:val="0563C1"/>
      <w:sz w:val="28"/>
      <w:szCs w:val="28"/>
      <w:u w:val="single" w:color="0563C1"/>
      <w:lang w:val="en-US"/>
      <w14:textFill>
        <w14:solidFill>
          <w14:srgbClr w14:val="000000"/>
        </w14:solidFill>
      </w14:textFill>
    </w:rPr>
  </w:style>
  <w:style w:type="character" w:customStyle="1" w:styleId="Hyperlink1">
    <w:name w:val="Hyperlink.1"/>
    <w:basedOn w:val="a0"/>
    <w:rsid w:val="0068112D"/>
    <w:rPr>
      <w:rFonts w:ascii="Times New Roman" w:eastAsia="Times New Roman" w:hAnsi="Times New Roman" w:cs="Times New Roman" w:hint="default"/>
      <w:outline w:val="0"/>
      <w:shadow w:val="0"/>
      <w:emboss w:val="0"/>
      <w:imprint w:val="0"/>
      <w:color w:val="0563C1"/>
      <w:sz w:val="28"/>
      <w:szCs w:val="28"/>
      <w:u w:val="single" w:color="0563C1"/>
      <w14:textFill>
        <w14:solidFill>
          <w14:srgbClr w14:val="000000"/>
        </w14:solidFill>
      </w14:textFill>
    </w:rPr>
  </w:style>
  <w:style w:type="paragraph" w:styleId="HTML">
    <w:name w:val="HTML Preformatted"/>
    <w:basedOn w:val="a"/>
    <w:link w:val="HTML0"/>
    <w:uiPriority w:val="99"/>
    <w:semiHidden/>
    <w:unhideWhenUsed/>
    <w:rsid w:val="0068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rPr>
  </w:style>
  <w:style w:type="character" w:customStyle="1" w:styleId="HTML0">
    <w:name w:val="Стандартный HTML Знак"/>
    <w:basedOn w:val="a0"/>
    <w:link w:val="HTML"/>
    <w:uiPriority w:val="99"/>
    <w:semiHidden/>
    <w:rsid w:val="0068112D"/>
    <w:rPr>
      <w:rFonts w:ascii="Courier New" w:eastAsia="Times New Roman" w:hAnsi="Courier New" w:cs="Courier New"/>
      <w:sz w:val="20"/>
      <w:szCs w:val="20"/>
      <w:lang w:val="ru-RU"/>
    </w:rPr>
  </w:style>
  <w:style w:type="character" w:customStyle="1" w:styleId="y2iqfc">
    <w:name w:val="y2iqfc"/>
    <w:basedOn w:val="a0"/>
    <w:rsid w:val="00681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476335">
      <w:bodyDiv w:val="1"/>
      <w:marLeft w:val="0"/>
      <w:marRight w:val="0"/>
      <w:marTop w:val="0"/>
      <w:marBottom w:val="0"/>
      <w:divBdr>
        <w:top w:val="none" w:sz="0" w:space="0" w:color="auto"/>
        <w:left w:val="none" w:sz="0" w:space="0" w:color="auto"/>
        <w:bottom w:val="none" w:sz="0" w:space="0" w:color="auto"/>
        <w:right w:val="none" w:sz="0" w:space="0" w:color="auto"/>
      </w:divBdr>
    </w:div>
    <w:div w:id="419447650">
      <w:bodyDiv w:val="1"/>
      <w:marLeft w:val="0"/>
      <w:marRight w:val="0"/>
      <w:marTop w:val="0"/>
      <w:marBottom w:val="0"/>
      <w:divBdr>
        <w:top w:val="none" w:sz="0" w:space="0" w:color="auto"/>
        <w:left w:val="none" w:sz="0" w:space="0" w:color="auto"/>
        <w:bottom w:val="none" w:sz="0" w:space="0" w:color="auto"/>
        <w:right w:val="none" w:sz="0" w:space="0" w:color="auto"/>
      </w:divBdr>
    </w:div>
    <w:div w:id="683945202">
      <w:bodyDiv w:val="1"/>
      <w:marLeft w:val="0"/>
      <w:marRight w:val="0"/>
      <w:marTop w:val="0"/>
      <w:marBottom w:val="0"/>
      <w:divBdr>
        <w:top w:val="none" w:sz="0" w:space="0" w:color="auto"/>
        <w:left w:val="none" w:sz="0" w:space="0" w:color="auto"/>
        <w:bottom w:val="none" w:sz="0" w:space="0" w:color="auto"/>
        <w:right w:val="none" w:sz="0" w:space="0" w:color="auto"/>
      </w:divBdr>
    </w:div>
    <w:div w:id="735398696">
      <w:bodyDiv w:val="1"/>
      <w:marLeft w:val="0"/>
      <w:marRight w:val="0"/>
      <w:marTop w:val="0"/>
      <w:marBottom w:val="0"/>
      <w:divBdr>
        <w:top w:val="none" w:sz="0" w:space="0" w:color="auto"/>
        <w:left w:val="none" w:sz="0" w:space="0" w:color="auto"/>
        <w:bottom w:val="none" w:sz="0" w:space="0" w:color="auto"/>
        <w:right w:val="none" w:sz="0" w:space="0" w:color="auto"/>
      </w:divBdr>
    </w:div>
    <w:div w:id="974487332">
      <w:bodyDiv w:val="1"/>
      <w:marLeft w:val="0"/>
      <w:marRight w:val="0"/>
      <w:marTop w:val="0"/>
      <w:marBottom w:val="0"/>
      <w:divBdr>
        <w:top w:val="none" w:sz="0" w:space="0" w:color="auto"/>
        <w:left w:val="none" w:sz="0" w:space="0" w:color="auto"/>
        <w:bottom w:val="none" w:sz="0" w:space="0" w:color="auto"/>
        <w:right w:val="none" w:sz="0" w:space="0" w:color="auto"/>
      </w:divBdr>
    </w:div>
    <w:div w:id="999043657">
      <w:bodyDiv w:val="1"/>
      <w:marLeft w:val="0"/>
      <w:marRight w:val="0"/>
      <w:marTop w:val="0"/>
      <w:marBottom w:val="0"/>
      <w:divBdr>
        <w:top w:val="none" w:sz="0" w:space="0" w:color="auto"/>
        <w:left w:val="none" w:sz="0" w:space="0" w:color="auto"/>
        <w:bottom w:val="none" w:sz="0" w:space="0" w:color="auto"/>
        <w:right w:val="none" w:sz="0" w:space="0" w:color="auto"/>
      </w:divBdr>
    </w:div>
    <w:div w:id="1278949914">
      <w:bodyDiv w:val="1"/>
      <w:marLeft w:val="0"/>
      <w:marRight w:val="0"/>
      <w:marTop w:val="0"/>
      <w:marBottom w:val="0"/>
      <w:divBdr>
        <w:top w:val="none" w:sz="0" w:space="0" w:color="auto"/>
        <w:left w:val="none" w:sz="0" w:space="0" w:color="auto"/>
        <w:bottom w:val="none" w:sz="0" w:space="0" w:color="auto"/>
        <w:right w:val="none" w:sz="0" w:space="0" w:color="auto"/>
      </w:divBdr>
    </w:div>
    <w:div w:id="1436055042">
      <w:bodyDiv w:val="1"/>
      <w:marLeft w:val="0"/>
      <w:marRight w:val="0"/>
      <w:marTop w:val="0"/>
      <w:marBottom w:val="0"/>
      <w:divBdr>
        <w:top w:val="none" w:sz="0" w:space="0" w:color="auto"/>
        <w:left w:val="none" w:sz="0" w:space="0" w:color="auto"/>
        <w:bottom w:val="none" w:sz="0" w:space="0" w:color="auto"/>
        <w:right w:val="none" w:sz="0" w:space="0" w:color="auto"/>
      </w:divBdr>
    </w:div>
    <w:div w:id="1468742672">
      <w:bodyDiv w:val="1"/>
      <w:marLeft w:val="0"/>
      <w:marRight w:val="0"/>
      <w:marTop w:val="0"/>
      <w:marBottom w:val="0"/>
      <w:divBdr>
        <w:top w:val="none" w:sz="0" w:space="0" w:color="auto"/>
        <w:left w:val="none" w:sz="0" w:space="0" w:color="auto"/>
        <w:bottom w:val="none" w:sz="0" w:space="0" w:color="auto"/>
        <w:right w:val="none" w:sz="0" w:space="0" w:color="auto"/>
      </w:divBdr>
    </w:div>
    <w:div w:id="1483766306">
      <w:bodyDiv w:val="1"/>
      <w:marLeft w:val="0"/>
      <w:marRight w:val="0"/>
      <w:marTop w:val="0"/>
      <w:marBottom w:val="0"/>
      <w:divBdr>
        <w:top w:val="none" w:sz="0" w:space="0" w:color="auto"/>
        <w:left w:val="none" w:sz="0" w:space="0" w:color="auto"/>
        <w:bottom w:val="none" w:sz="0" w:space="0" w:color="auto"/>
        <w:right w:val="none" w:sz="0" w:space="0" w:color="auto"/>
      </w:divBdr>
    </w:div>
    <w:div w:id="1498426600">
      <w:bodyDiv w:val="1"/>
      <w:marLeft w:val="0"/>
      <w:marRight w:val="0"/>
      <w:marTop w:val="0"/>
      <w:marBottom w:val="0"/>
      <w:divBdr>
        <w:top w:val="none" w:sz="0" w:space="0" w:color="auto"/>
        <w:left w:val="none" w:sz="0" w:space="0" w:color="auto"/>
        <w:bottom w:val="none" w:sz="0" w:space="0" w:color="auto"/>
        <w:right w:val="none" w:sz="0" w:space="0" w:color="auto"/>
      </w:divBdr>
    </w:div>
    <w:div w:id="1501382808">
      <w:bodyDiv w:val="1"/>
      <w:marLeft w:val="0"/>
      <w:marRight w:val="0"/>
      <w:marTop w:val="0"/>
      <w:marBottom w:val="0"/>
      <w:divBdr>
        <w:top w:val="none" w:sz="0" w:space="0" w:color="auto"/>
        <w:left w:val="none" w:sz="0" w:space="0" w:color="auto"/>
        <w:bottom w:val="none" w:sz="0" w:space="0" w:color="auto"/>
        <w:right w:val="none" w:sz="0" w:space="0" w:color="auto"/>
      </w:divBdr>
    </w:div>
    <w:div w:id="1597441178">
      <w:bodyDiv w:val="1"/>
      <w:marLeft w:val="0"/>
      <w:marRight w:val="0"/>
      <w:marTop w:val="0"/>
      <w:marBottom w:val="0"/>
      <w:divBdr>
        <w:top w:val="none" w:sz="0" w:space="0" w:color="auto"/>
        <w:left w:val="none" w:sz="0" w:space="0" w:color="auto"/>
        <w:bottom w:val="none" w:sz="0" w:space="0" w:color="auto"/>
        <w:right w:val="none" w:sz="0" w:space="0" w:color="auto"/>
      </w:divBdr>
    </w:div>
    <w:div w:id="1605845328">
      <w:bodyDiv w:val="1"/>
      <w:marLeft w:val="0"/>
      <w:marRight w:val="0"/>
      <w:marTop w:val="0"/>
      <w:marBottom w:val="0"/>
      <w:divBdr>
        <w:top w:val="none" w:sz="0" w:space="0" w:color="auto"/>
        <w:left w:val="none" w:sz="0" w:space="0" w:color="auto"/>
        <w:bottom w:val="none" w:sz="0" w:space="0" w:color="auto"/>
        <w:right w:val="none" w:sz="0" w:space="0" w:color="auto"/>
      </w:divBdr>
    </w:div>
    <w:div w:id="1846093965">
      <w:bodyDiv w:val="1"/>
      <w:marLeft w:val="0"/>
      <w:marRight w:val="0"/>
      <w:marTop w:val="0"/>
      <w:marBottom w:val="0"/>
      <w:divBdr>
        <w:top w:val="none" w:sz="0" w:space="0" w:color="auto"/>
        <w:left w:val="none" w:sz="0" w:space="0" w:color="auto"/>
        <w:bottom w:val="none" w:sz="0" w:space="0" w:color="auto"/>
        <w:right w:val="none" w:sz="0" w:space="0" w:color="auto"/>
      </w:divBdr>
    </w:div>
    <w:div w:id="1871336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document/92988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10.36871/ek.up.p.r.2023.12.13.007" TargetMode="External"/><Relationship Id="rId4" Type="http://schemas.openxmlformats.org/officeDocument/2006/relationships/settings" Target="settings.xml"/><Relationship Id="rId9" Type="http://schemas.openxmlformats.org/officeDocument/2006/relationships/hyperlink" Target="https://ieeexplore.ieee.org/document/92988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076CC-115D-46BB-8A40-5D13653B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16</Pages>
  <Words>4833</Words>
  <Characters>27554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Нагайцев Денис</dc:creator>
  <cp:lastModifiedBy>Anna Pilyugina</cp:lastModifiedBy>
  <cp:revision>10</cp:revision>
  <cp:lastPrinted>2025-02-17T07:01:00Z</cp:lastPrinted>
  <dcterms:created xsi:type="dcterms:W3CDTF">2025-02-19T08:20:00Z</dcterms:created>
  <dcterms:modified xsi:type="dcterms:W3CDTF">2025-02-19T09:59:00Z</dcterms:modified>
</cp:coreProperties>
</file>